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2E88" w:rsidRPr="00412E88" w:rsidRDefault="007700E7" w:rsidP="00412E88">
      <w:pPr>
        <w:spacing w:after="200" w:line="276" w:lineRule="auto"/>
        <w:jc w:val="center"/>
        <w:rPr>
          <w:rFonts w:ascii="Calibri" w:eastAsia="Calibri" w:hAnsi="Calibri" w:cs="Times New Roman"/>
          <w:sz w:val="22"/>
          <w:szCs w:val="22"/>
          <w:lang w:val="en-CA"/>
        </w:rPr>
      </w:pPr>
      <w:bookmarkStart w:id="0" w:name="_Toc240531162"/>
      <w:bookmarkStart w:id="1" w:name="_Toc241888426"/>
      <w:r w:rsidRPr="007700E7">
        <w:rPr>
          <w:rFonts w:ascii="Times New Roman" w:eastAsia="Calibri" w:hAnsi="Times New Roman" w:cs="Times New Roman"/>
          <w:i/>
          <w:lang w:val="en-CA"/>
        </w:rPr>
        <w:t xml:space="preserve">This is an Author’s Original Manuscript of an article submitted for consideration by Studies in Higher Education (copyright Taylor and Francis). Studies in Higher Education is available online at </w:t>
      </w:r>
      <w:hyperlink r:id="rId7" w:history="1">
        <w:r w:rsidRPr="007700E7">
          <w:rPr>
            <w:rFonts w:ascii="Times New Roman" w:eastAsia="Calibri" w:hAnsi="Times New Roman" w:cs="Times New Roman"/>
            <w:i/>
            <w:color w:val="0000FF"/>
            <w:u w:val="single"/>
            <w:lang w:val="en-CA"/>
          </w:rPr>
          <w:t>www.tandfonline.com</w:t>
        </w:r>
      </w:hyperlink>
      <w:r w:rsidR="00412E88">
        <w:rPr>
          <w:rFonts w:ascii="Calibri" w:eastAsia="Calibri" w:hAnsi="Calibri" w:cs="Times New Roman"/>
          <w:sz w:val="22"/>
          <w:szCs w:val="22"/>
          <w:lang w:val="en-CA"/>
        </w:rPr>
        <w:t xml:space="preserve">. The citation of the final published article is:  </w:t>
      </w:r>
      <w:r w:rsidR="00BD005C">
        <w:rPr>
          <w:rFonts w:ascii="Calibri" w:eastAsia="Calibri" w:hAnsi="Calibri" w:cs="Times New Roman"/>
          <w:sz w:val="22"/>
          <w:szCs w:val="22"/>
          <w:lang w:val="en-CA"/>
        </w:rPr>
        <w:t>Jones, G.</w:t>
      </w:r>
      <w:r w:rsidR="00412E88" w:rsidRPr="00412E88">
        <w:rPr>
          <w:rFonts w:ascii="Calibri" w:eastAsia="Calibri" w:hAnsi="Calibri" w:cs="Times New Roman"/>
          <w:sz w:val="22"/>
          <w:szCs w:val="22"/>
          <w:lang w:val="en-CA"/>
        </w:rPr>
        <w:t xml:space="preserve"> A. (2014). Building and Strengthening Policy Research Capacity: Key Issues in Canadian Higher Education. </w:t>
      </w:r>
      <w:r w:rsidR="00412E88" w:rsidRPr="00412E88">
        <w:rPr>
          <w:rFonts w:ascii="Calibri" w:eastAsia="Calibri" w:hAnsi="Calibri" w:cs="Times New Roman"/>
          <w:i/>
          <w:sz w:val="22"/>
          <w:szCs w:val="22"/>
          <w:lang w:val="en-CA"/>
        </w:rPr>
        <w:t>Studies in Higher Education</w:t>
      </w:r>
      <w:r w:rsidR="00412E88" w:rsidRPr="00412E88">
        <w:rPr>
          <w:rFonts w:ascii="Calibri" w:eastAsia="Calibri" w:hAnsi="Calibri" w:cs="Times New Roman"/>
          <w:sz w:val="22"/>
          <w:szCs w:val="22"/>
          <w:lang w:val="en-CA"/>
        </w:rPr>
        <w:t>, 39(8), 1332-1342.</w:t>
      </w:r>
    </w:p>
    <w:p w:rsidR="007700E7" w:rsidRPr="007700E7" w:rsidRDefault="007700E7" w:rsidP="007700E7">
      <w:pPr>
        <w:spacing w:after="200" w:line="276" w:lineRule="auto"/>
        <w:jc w:val="center"/>
        <w:rPr>
          <w:rFonts w:ascii="Times New Roman" w:eastAsia="Calibri" w:hAnsi="Times New Roman" w:cs="Times New Roman"/>
          <w:i/>
          <w:lang w:val="en-CA"/>
        </w:rPr>
      </w:pPr>
    </w:p>
    <w:p w:rsidR="000006B2" w:rsidRDefault="00B559CE" w:rsidP="007700E7">
      <w:pPr>
        <w:pStyle w:val="Heading2"/>
        <w:jc w:val="center"/>
      </w:pPr>
      <w:r>
        <w:t xml:space="preserve">Building and </w:t>
      </w:r>
      <w:r w:rsidR="000006B2">
        <w:t>Strengthening Policy Research Capa</w:t>
      </w:r>
      <w:r w:rsidR="00A82E8C">
        <w:t>city: Key Issues in Canadian Higher Education</w:t>
      </w:r>
    </w:p>
    <w:p w:rsidR="00D928B1" w:rsidRPr="0019387B" w:rsidRDefault="00D928B1" w:rsidP="007700E7">
      <w:pPr>
        <w:pStyle w:val="Heading2"/>
        <w:jc w:val="center"/>
      </w:pPr>
      <w:r w:rsidRPr="0019387B">
        <w:t>Glen A. Jones</w:t>
      </w:r>
      <w:bookmarkEnd w:id="0"/>
      <w:bookmarkEnd w:id="1"/>
    </w:p>
    <w:p w:rsidR="00D928B1" w:rsidRDefault="00D928B1" w:rsidP="00D928B1">
      <w:pPr>
        <w:spacing w:line="360" w:lineRule="auto"/>
        <w:jc w:val="both"/>
        <w:rPr>
          <w:rFonts w:ascii="Palatino" w:hAnsi="Palatino" w:cs="Times New Roman"/>
        </w:rPr>
      </w:pPr>
    </w:p>
    <w:p w:rsidR="00282E7F" w:rsidRPr="00EE1A0A" w:rsidRDefault="00282E7F" w:rsidP="00D928B1">
      <w:pPr>
        <w:spacing w:line="360" w:lineRule="auto"/>
        <w:jc w:val="both"/>
        <w:rPr>
          <w:rFonts w:ascii="Palatino" w:hAnsi="Palatino" w:cs="Times New Roman"/>
          <w:b/>
        </w:rPr>
      </w:pPr>
      <w:r w:rsidRPr="00EE1A0A">
        <w:rPr>
          <w:rFonts w:ascii="Palatino" w:hAnsi="Palatino" w:cs="Times New Roman"/>
          <w:b/>
        </w:rPr>
        <w:t>Abstract:</w:t>
      </w:r>
    </w:p>
    <w:p w:rsidR="00FF328B" w:rsidRPr="00EE1A0A" w:rsidRDefault="00FF328B" w:rsidP="00D928B1">
      <w:pPr>
        <w:spacing w:line="360" w:lineRule="auto"/>
        <w:jc w:val="both"/>
        <w:rPr>
          <w:rFonts w:ascii="Palatino" w:hAnsi="Palatino" w:cs="Times New Roman"/>
          <w:i/>
        </w:rPr>
      </w:pPr>
      <w:r w:rsidRPr="00EE1A0A">
        <w:rPr>
          <w:rFonts w:ascii="Palatino" w:hAnsi="Palatino" w:cs="Times New Roman"/>
          <w:i/>
        </w:rPr>
        <w:t xml:space="preserve">Given the importance of higher education to social and economic development, governments </w:t>
      </w:r>
      <w:r w:rsidR="00EE1A0A" w:rsidRPr="00EE1A0A">
        <w:rPr>
          <w:rFonts w:ascii="Palatino" w:hAnsi="Palatino" w:cs="Times New Roman"/>
          <w:i/>
        </w:rPr>
        <w:t xml:space="preserve">need </w:t>
      </w:r>
      <w:r w:rsidRPr="00EE1A0A">
        <w:rPr>
          <w:rFonts w:ascii="Palatino" w:hAnsi="Palatino" w:cs="Times New Roman"/>
          <w:i/>
        </w:rPr>
        <w:t xml:space="preserve">to build a strong higher education data and policy research infrastructure to support informed decision-making, provide policy advice, and offer a critical assessment of key trends and issues. </w:t>
      </w:r>
      <w:r w:rsidR="00EE1A0A" w:rsidRPr="00EE1A0A">
        <w:rPr>
          <w:rFonts w:ascii="Palatino" w:hAnsi="Palatino" w:cs="Times New Roman"/>
          <w:i/>
        </w:rPr>
        <w:t>The author discusses</w:t>
      </w:r>
      <w:r w:rsidRPr="00EE1A0A">
        <w:rPr>
          <w:rFonts w:ascii="Palatino" w:hAnsi="Palatino" w:cs="Times New Roman"/>
          <w:i/>
        </w:rPr>
        <w:t xml:space="preserve"> the decline of higher education policy research capacity</w:t>
      </w:r>
      <w:r w:rsidR="00EE1A0A" w:rsidRPr="00EE1A0A">
        <w:rPr>
          <w:rFonts w:ascii="Palatino" w:hAnsi="Palatino" w:cs="Times New Roman"/>
          <w:i/>
        </w:rPr>
        <w:t xml:space="preserve"> in Canada</w:t>
      </w:r>
      <w:r w:rsidRPr="00EE1A0A">
        <w:rPr>
          <w:rFonts w:ascii="Palatino" w:hAnsi="Palatino" w:cs="Times New Roman"/>
          <w:i/>
        </w:rPr>
        <w:t xml:space="preserve"> and reviews the importance of strong national data s</w:t>
      </w:r>
      <w:r w:rsidR="00EE1A0A" w:rsidRPr="00EE1A0A">
        <w:rPr>
          <w:rFonts w:ascii="Palatino" w:hAnsi="Palatino" w:cs="Times New Roman"/>
          <w:i/>
        </w:rPr>
        <w:t>ystems in addressing issues of access and student mobility, and in understanding the implications of the increasing fragmentation of academic work. An international comparative study of national arrangements could illuminate useful strategies and approaches for strengthening this important policy research infrastructure.</w:t>
      </w:r>
    </w:p>
    <w:p w:rsidR="00282E7F" w:rsidRDefault="00282E7F" w:rsidP="00D928B1">
      <w:pPr>
        <w:spacing w:line="360" w:lineRule="auto"/>
        <w:jc w:val="both"/>
        <w:rPr>
          <w:rFonts w:ascii="Palatino" w:hAnsi="Palatino" w:cs="Times New Roman"/>
        </w:rPr>
      </w:pPr>
    </w:p>
    <w:p w:rsidR="00282E7F" w:rsidRDefault="00282E7F" w:rsidP="00D928B1">
      <w:pPr>
        <w:spacing w:line="360" w:lineRule="auto"/>
        <w:jc w:val="both"/>
        <w:rPr>
          <w:rFonts w:ascii="Palatino" w:hAnsi="Palatino" w:cs="Times New Roman"/>
        </w:rPr>
      </w:pPr>
      <w:r w:rsidRPr="00EE1A0A">
        <w:rPr>
          <w:rFonts w:ascii="Palatino" w:hAnsi="Palatino" w:cs="Times New Roman"/>
          <w:b/>
        </w:rPr>
        <w:t>Keywords:</w:t>
      </w:r>
      <w:r w:rsidR="00210A75">
        <w:rPr>
          <w:rFonts w:ascii="Palatino" w:hAnsi="Palatino" w:cs="Times New Roman"/>
        </w:rPr>
        <w:t xml:space="preserve"> policy research, professors, academic work, university transfer, access, </w:t>
      </w:r>
    </w:p>
    <w:p w:rsidR="00D928B1" w:rsidRDefault="00D928B1" w:rsidP="00D928B1">
      <w:pPr>
        <w:spacing w:line="360" w:lineRule="auto"/>
        <w:jc w:val="both"/>
        <w:rPr>
          <w:rFonts w:ascii="Palatino" w:hAnsi="Palatino" w:cs="Times New Roman"/>
        </w:rPr>
      </w:pPr>
    </w:p>
    <w:p w:rsidR="00CC024B" w:rsidRPr="00B64B03" w:rsidRDefault="00B64B03" w:rsidP="00D928B1">
      <w:pPr>
        <w:spacing w:line="360" w:lineRule="auto"/>
        <w:jc w:val="both"/>
        <w:rPr>
          <w:rFonts w:ascii="Palatino" w:hAnsi="Palatino" w:cs="Times New Roman"/>
          <w:i/>
        </w:rPr>
      </w:pPr>
      <w:r w:rsidRPr="00B64B03">
        <w:rPr>
          <w:rFonts w:ascii="Palatino" w:hAnsi="Palatino" w:cs="Times New Roman"/>
          <w:i/>
        </w:rPr>
        <w:t xml:space="preserve">If we knew what we were doing it wouldn’t be research. </w:t>
      </w:r>
    </w:p>
    <w:p w:rsidR="00B64B03" w:rsidRPr="0019387B" w:rsidRDefault="00B64B03" w:rsidP="00B64B03">
      <w:pPr>
        <w:spacing w:line="360" w:lineRule="auto"/>
        <w:jc w:val="right"/>
        <w:rPr>
          <w:rFonts w:ascii="Palatino" w:hAnsi="Palatino" w:cs="Times New Roman"/>
        </w:rPr>
      </w:pPr>
      <w:r>
        <w:rPr>
          <w:rFonts w:ascii="Palatino" w:hAnsi="Palatino" w:cs="Times New Roman"/>
        </w:rPr>
        <w:t xml:space="preserve">Albert Einstein (see </w:t>
      </w:r>
      <w:r w:rsidR="00CA6212">
        <w:rPr>
          <w:rFonts w:ascii="Palatino" w:hAnsi="Palatino" w:cs="Times New Roman"/>
        </w:rPr>
        <w:t>Birnbaum</w:t>
      </w:r>
      <w:r>
        <w:rPr>
          <w:rFonts w:ascii="Palatino" w:hAnsi="Palatino" w:cs="Times New Roman"/>
        </w:rPr>
        <w:t xml:space="preserve"> 2004, 99)</w:t>
      </w:r>
    </w:p>
    <w:p w:rsidR="00D928B1" w:rsidRPr="0019387B" w:rsidRDefault="00D928B1" w:rsidP="00D928B1">
      <w:pPr>
        <w:spacing w:line="360" w:lineRule="auto"/>
        <w:jc w:val="both"/>
        <w:rPr>
          <w:rFonts w:ascii="Palatino" w:hAnsi="Palatino" w:cs="Times New Roman"/>
          <w:b/>
        </w:rPr>
      </w:pPr>
    </w:p>
    <w:p w:rsidR="001938EA" w:rsidRDefault="009F081E" w:rsidP="00D928B1">
      <w:pPr>
        <w:spacing w:line="360" w:lineRule="auto"/>
        <w:jc w:val="both"/>
        <w:rPr>
          <w:rFonts w:ascii="Palatino" w:hAnsi="Palatino" w:cs="Times New Roman"/>
        </w:rPr>
      </w:pPr>
      <w:r>
        <w:rPr>
          <w:rFonts w:ascii="Palatino" w:hAnsi="Palatino" w:cs="Times New Roman"/>
        </w:rPr>
        <w:tab/>
        <w:t>Contrary to the cherished assumptions of many social science researc</w:t>
      </w:r>
      <w:r w:rsidR="00CE0173">
        <w:rPr>
          <w:rFonts w:ascii="Palatino" w:hAnsi="Palatino" w:cs="Times New Roman"/>
        </w:rPr>
        <w:t>hers, government</w:t>
      </w:r>
      <w:r w:rsidR="00CC17F7">
        <w:rPr>
          <w:rFonts w:ascii="Palatino" w:hAnsi="Palatino" w:cs="Times New Roman"/>
        </w:rPr>
        <w:t>s are perfectly capable of making decisions</w:t>
      </w:r>
      <w:r>
        <w:rPr>
          <w:rFonts w:ascii="Palatino" w:hAnsi="Palatino" w:cs="Times New Roman"/>
        </w:rPr>
        <w:t xml:space="preserve"> in the complete absence of relevant evidence, research or data. </w:t>
      </w:r>
      <w:r w:rsidR="00883A61">
        <w:rPr>
          <w:rFonts w:ascii="Palatino" w:hAnsi="Palatino" w:cs="Times New Roman"/>
        </w:rPr>
        <w:t xml:space="preserve">Even universities, where knowledge, research and critical thought underscore the very essence of the institutional </w:t>
      </w:r>
      <w:r w:rsidR="00883A61">
        <w:rPr>
          <w:rFonts w:ascii="Palatino" w:hAnsi="Palatino" w:cs="Times New Roman"/>
        </w:rPr>
        <w:lastRenderedPageBreak/>
        <w:t>form, have been known to make decisions without first conducting a detailed analysis of available data, or carefully reviewing the scholarly literature.</w:t>
      </w:r>
      <w:r w:rsidR="001938EA">
        <w:rPr>
          <w:rFonts w:ascii="Palatino" w:hAnsi="Palatino" w:cs="Times New Roman"/>
        </w:rPr>
        <w:t xml:space="preserve"> </w:t>
      </w:r>
      <w:r w:rsidR="00BB6DF6">
        <w:rPr>
          <w:rFonts w:ascii="Palatino" w:hAnsi="Palatino" w:cs="Times New Roman"/>
        </w:rPr>
        <w:t>However, the central assumption in this paper is that higher education has simply become too important to the social and economic development of nations, and too large an area of public and private</w:t>
      </w:r>
      <w:r w:rsidR="00B559CE">
        <w:rPr>
          <w:rFonts w:ascii="Palatino" w:hAnsi="Palatino" w:cs="Times New Roman"/>
        </w:rPr>
        <w:t xml:space="preserve"> investment, for govern</w:t>
      </w:r>
      <w:r w:rsidR="00A82E8C">
        <w:rPr>
          <w:rFonts w:ascii="Palatino" w:hAnsi="Palatino" w:cs="Times New Roman"/>
        </w:rPr>
        <w:t xml:space="preserve">ments and institutions to make </w:t>
      </w:r>
      <w:r w:rsidR="000660F0">
        <w:rPr>
          <w:rFonts w:ascii="Palatino" w:hAnsi="Palatino" w:cs="Times New Roman"/>
        </w:rPr>
        <w:t xml:space="preserve">key </w:t>
      </w:r>
      <w:r w:rsidR="00A82E8C">
        <w:rPr>
          <w:rFonts w:ascii="Palatino" w:hAnsi="Palatino" w:cs="Times New Roman"/>
        </w:rPr>
        <w:t>decisions that are not informed by evidenc</w:t>
      </w:r>
      <w:r w:rsidR="007C59A5">
        <w:rPr>
          <w:rFonts w:ascii="Palatino" w:hAnsi="Palatino" w:cs="Times New Roman"/>
        </w:rPr>
        <w:t xml:space="preserve">e and thoughtful policy advice. </w:t>
      </w:r>
    </w:p>
    <w:p w:rsidR="00D928B1" w:rsidRPr="0019387B" w:rsidRDefault="0018384F" w:rsidP="004016FC">
      <w:pPr>
        <w:spacing w:line="360" w:lineRule="auto"/>
        <w:ind w:firstLine="720"/>
        <w:jc w:val="both"/>
        <w:rPr>
          <w:rFonts w:ascii="Palatino" w:hAnsi="Palatino" w:cs="Times New Roman"/>
        </w:rPr>
      </w:pPr>
      <w:r>
        <w:rPr>
          <w:rFonts w:ascii="Palatino" w:hAnsi="Palatino" w:cs="Times New Roman"/>
        </w:rPr>
        <w:t xml:space="preserve">My objective in this paper is to discuss the importance of building a </w:t>
      </w:r>
      <w:r w:rsidR="000660F0">
        <w:rPr>
          <w:rFonts w:ascii="Palatino" w:hAnsi="Palatino" w:cs="Times New Roman"/>
        </w:rPr>
        <w:t>strong higher</w:t>
      </w:r>
      <w:r>
        <w:rPr>
          <w:rFonts w:ascii="Palatino" w:hAnsi="Palatino" w:cs="Times New Roman"/>
        </w:rPr>
        <w:t xml:space="preserve"> education </w:t>
      </w:r>
      <w:r w:rsidR="007C59A5">
        <w:rPr>
          <w:rFonts w:ascii="Palatino" w:hAnsi="Palatino" w:cs="Times New Roman"/>
        </w:rPr>
        <w:t>data and pol</w:t>
      </w:r>
      <w:r>
        <w:rPr>
          <w:rFonts w:ascii="Palatino" w:hAnsi="Palatino" w:cs="Times New Roman"/>
        </w:rPr>
        <w:t xml:space="preserve">icy research infrastructure to </w:t>
      </w:r>
      <w:r w:rsidR="007C59A5">
        <w:rPr>
          <w:rFonts w:ascii="Palatino" w:hAnsi="Palatino" w:cs="Times New Roman"/>
        </w:rPr>
        <w:t>support informed decision-making, provide policy advice, and offer a critical assessment of key trends and issues.</w:t>
      </w:r>
      <w:r>
        <w:rPr>
          <w:rFonts w:ascii="Palatino" w:hAnsi="Palatino" w:cs="Times New Roman"/>
        </w:rPr>
        <w:t xml:space="preserve"> I begin the paper by descri</w:t>
      </w:r>
      <w:r w:rsidR="004016FC">
        <w:rPr>
          <w:rFonts w:ascii="Palatino" w:hAnsi="Palatino" w:cs="Times New Roman"/>
        </w:rPr>
        <w:t xml:space="preserve">bing the gradual decline </w:t>
      </w:r>
      <w:r>
        <w:rPr>
          <w:rFonts w:ascii="Palatino" w:hAnsi="Palatino" w:cs="Times New Roman"/>
        </w:rPr>
        <w:t xml:space="preserve">of Canada’s national data systems and policy research capacity in this important area, and then </w:t>
      </w:r>
      <w:r w:rsidR="004016FC">
        <w:rPr>
          <w:rFonts w:ascii="Palatino" w:hAnsi="Palatino" w:cs="Times New Roman"/>
        </w:rPr>
        <w:t>review two important policy issues in Canadian higher education where strong national data systems are needed in order to strengthen policy development. The first issue is</w:t>
      </w:r>
      <w:r w:rsidR="00D928B1" w:rsidRPr="0019387B">
        <w:rPr>
          <w:rFonts w:ascii="Palatino" w:hAnsi="Palatino" w:cs="Times New Roman"/>
        </w:rPr>
        <w:t xml:space="preserve"> broadening access and the importance of facilitating student mobility within the broader postsecon</w:t>
      </w:r>
      <w:r w:rsidR="004016FC">
        <w:rPr>
          <w:rFonts w:ascii="Palatino" w:hAnsi="Palatino" w:cs="Times New Roman"/>
        </w:rPr>
        <w:t>dary education system. The second</w:t>
      </w:r>
      <w:r w:rsidR="00D928B1" w:rsidRPr="0019387B">
        <w:rPr>
          <w:rFonts w:ascii="Palatino" w:hAnsi="Palatino" w:cs="Times New Roman"/>
        </w:rPr>
        <w:t xml:space="preserve"> issue is the increasing fragmentation of academic work and our need to understand the implications of these changes for student learning, institutional governance, leadership, and the academic </w:t>
      </w:r>
      <w:proofErr w:type="spellStart"/>
      <w:r w:rsidR="00D928B1" w:rsidRPr="0019387B">
        <w:rPr>
          <w:rFonts w:ascii="Palatino" w:hAnsi="Palatino" w:cs="Times New Roman"/>
        </w:rPr>
        <w:t>labour</w:t>
      </w:r>
      <w:proofErr w:type="spellEnd"/>
      <w:r w:rsidR="00D928B1" w:rsidRPr="0019387B">
        <w:rPr>
          <w:rFonts w:ascii="Palatino" w:hAnsi="Palatino" w:cs="Times New Roman"/>
        </w:rPr>
        <w:t xml:space="preserve"> market.</w:t>
      </w:r>
      <w:r w:rsidR="000660F0">
        <w:rPr>
          <w:rFonts w:ascii="Palatino" w:hAnsi="Palatino" w:cs="Times New Roman"/>
        </w:rPr>
        <w:t xml:space="preserve"> </w:t>
      </w:r>
      <w:r w:rsidR="00E54A98">
        <w:rPr>
          <w:rFonts w:ascii="Palatino" w:hAnsi="Palatino" w:cs="Times New Roman"/>
        </w:rPr>
        <w:t xml:space="preserve">I will conclude by </w:t>
      </w:r>
      <w:proofErr w:type="gramStart"/>
      <w:r w:rsidR="00E54A98">
        <w:rPr>
          <w:rFonts w:ascii="Palatino" w:hAnsi="Palatino" w:cs="Times New Roman"/>
        </w:rPr>
        <w:t xml:space="preserve">offering </w:t>
      </w:r>
      <w:r w:rsidR="000660F0">
        <w:rPr>
          <w:rFonts w:ascii="Palatino" w:hAnsi="Palatino" w:cs="Times New Roman"/>
        </w:rPr>
        <w:t xml:space="preserve"> suggestions</w:t>
      </w:r>
      <w:proofErr w:type="gramEnd"/>
      <w:r w:rsidR="000660F0">
        <w:rPr>
          <w:rFonts w:ascii="Palatino" w:hAnsi="Palatino" w:cs="Times New Roman"/>
        </w:rPr>
        <w:t xml:space="preserve"> for further research.</w:t>
      </w:r>
    </w:p>
    <w:p w:rsidR="00D928B1" w:rsidRPr="0019387B" w:rsidRDefault="00D928B1" w:rsidP="00D928B1">
      <w:pPr>
        <w:spacing w:line="360" w:lineRule="auto"/>
        <w:jc w:val="both"/>
        <w:rPr>
          <w:rFonts w:ascii="Palatino" w:hAnsi="Palatino" w:cs="Times New Roman"/>
        </w:rPr>
      </w:pPr>
    </w:p>
    <w:p w:rsidR="00D928B1" w:rsidRDefault="00D928B1" w:rsidP="00D928B1">
      <w:pPr>
        <w:spacing w:line="360" w:lineRule="auto"/>
        <w:jc w:val="both"/>
        <w:rPr>
          <w:rFonts w:ascii="Palatino" w:hAnsi="Palatino" w:cs="Times New Roman"/>
          <w:b/>
        </w:rPr>
      </w:pPr>
      <w:r w:rsidRPr="0019387B">
        <w:rPr>
          <w:rFonts w:ascii="Palatino" w:hAnsi="Palatino" w:cs="Times New Roman"/>
          <w:b/>
        </w:rPr>
        <w:t xml:space="preserve">A </w:t>
      </w:r>
      <w:r>
        <w:rPr>
          <w:rFonts w:ascii="Palatino" w:hAnsi="Palatino" w:cs="Times New Roman"/>
          <w:b/>
        </w:rPr>
        <w:t>s</w:t>
      </w:r>
      <w:r w:rsidRPr="0019387B">
        <w:rPr>
          <w:rFonts w:ascii="Palatino" w:hAnsi="Palatino" w:cs="Times New Roman"/>
          <w:b/>
        </w:rPr>
        <w:t xml:space="preserve">trong </w:t>
      </w:r>
      <w:r>
        <w:rPr>
          <w:rFonts w:ascii="Palatino" w:hAnsi="Palatino" w:cs="Times New Roman"/>
          <w:b/>
        </w:rPr>
        <w:t>d</w:t>
      </w:r>
      <w:r w:rsidRPr="0019387B">
        <w:rPr>
          <w:rFonts w:ascii="Palatino" w:hAnsi="Palatino" w:cs="Times New Roman"/>
          <w:b/>
        </w:rPr>
        <w:t xml:space="preserve">ata and </w:t>
      </w:r>
      <w:r>
        <w:rPr>
          <w:rFonts w:ascii="Palatino" w:hAnsi="Palatino" w:cs="Times New Roman"/>
          <w:b/>
        </w:rPr>
        <w:t>r</w:t>
      </w:r>
      <w:r w:rsidRPr="0019387B">
        <w:rPr>
          <w:rFonts w:ascii="Palatino" w:hAnsi="Palatino" w:cs="Times New Roman"/>
          <w:b/>
        </w:rPr>
        <w:t xml:space="preserve">esearch </w:t>
      </w:r>
      <w:r>
        <w:rPr>
          <w:rFonts w:ascii="Palatino" w:hAnsi="Palatino" w:cs="Times New Roman"/>
          <w:b/>
        </w:rPr>
        <w:t>infrastructure for the de</w:t>
      </w:r>
      <w:r w:rsidRPr="0019387B">
        <w:rPr>
          <w:rFonts w:ascii="Palatino" w:hAnsi="Palatino" w:cs="Times New Roman"/>
          <w:b/>
        </w:rPr>
        <w:t xml:space="preserve">velopment of </w:t>
      </w:r>
      <w:r>
        <w:rPr>
          <w:rFonts w:ascii="Palatino" w:hAnsi="Palatino" w:cs="Times New Roman"/>
          <w:b/>
        </w:rPr>
        <w:t>i</w:t>
      </w:r>
      <w:r w:rsidRPr="0019387B">
        <w:rPr>
          <w:rFonts w:ascii="Palatino" w:hAnsi="Palatino" w:cs="Times New Roman"/>
          <w:b/>
        </w:rPr>
        <w:t xml:space="preserve">nformed </w:t>
      </w:r>
      <w:r>
        <w:rPr>
          <w:rFonts w:ascii="Palatino" w:hAnsi="Palatino" w:cs="Times New Roman"/>
          <w:b/>
        </w:rPr>
        <w:t>h</w:t>
      </w:r>
      <w:r w:rsidRPr="0019387B">
        <w:rPr>
          <w:rFonts w:ascii="Palatino" w:hAnsi="Palatino" w:cs="Times New Roman"/>
          <w:b/>
        </w:rPr>
        <w:t xml:space="preserve">igher </w:t>
      </w:r>
      <w:r>
        <w:rPr>
          <w:rFonts w:ascii="Palatino" w:hAnsi="Palatino" w:cs="Times New Roman"/>
          <w:b/>
        </w:rPr>
        <w:t>e</w:t>
      </w:r>
      <w:r w:rsidRPr="0019387B">
        <w:rPr>
          <w:rFonts w:ascii="Palatino" w:hAnsi="Palatino" w:cs="Times New Roman"/>
          <w:b/>
        </w:rPr>
        <w:t xml:space="preserve">ducation </w:t>
      </w:r>
      <w:r>
        <w:rPr>
          <w:rFonts w:ascii="Palatino" w:hAnsi="Palatino" w:cs="Times New Roman"/>
          <w:b/>
        </w:rPr>
        <w:t>p</w:t>
      </w:r>
      <w:r w:rsidRPr="0019387B">
        <w:rPr>
          <w:rFonts w:ascii="Palatino" w:hAnsi="Palatino" w:cs="Times New Roman"/>
          <w:b/>
        </w:rPr>
        <w:t>olicy</w:t>
      </w:r>
    </w:p>
    <w:p w:rsidR="00A52378" w:rsidRPr="0019387B" w:rsidRDefault="00A52378" w:rsidP="00D928B1">
      <w:pPr>
        <w:spacing w:line="360" w:lineRule="auto"/>
        <w:jc w:val="both"/>
        <w:rPr>
          <w:rFonts w:ascii="Palatino" w:hAnsi="Palatino" w:cs="Times New Roman"/>
          <w:b/>
        </w:rPr>
      </w:pPr>
    </w:p>
    <w:p w:rsidR="00D928B1" w:rsidRDefault="00D928B1" w:rsidP="000660F0">
      <w:pPr>
        <w:spacing w:line="360" w:lineRule="auto"/>
        <w:ind w:firstLine="720"/>
        <w:jc w:val="both"/>
        <w:rPr>
          <w:rFonts w:ascii="Palatino" w:hAnsi="Palatino" w:cs="Times New Roman"/>
        </w:rPr>
      </w:pPr>
      <w:r w:rsidRPr="0019387B">
        <w:rPr>
          <w:rFonts w:ascii="Palatino" w:hAnsi="Palatino" w:cs="Times New Roman"/>
        </w:rPr>
        <w:t>J.A. Corry, the former Principal of Queen’s University (Kingston, Ontario) described the repositioning of the Canadian university in the context of post-WWII massification as the transition “from private domain to public utility,” the movement from the university as “nobody’s business” to the university as “everybody’s business”</w:t>
      </w:r>
      <w:r w:rsidR="00CA6212">
        <w:rPr>
          <w:rFonts w:ascii="Palatino" w:hAnsi="Palatino" w:cs="Times New Roman"/>
        </w:rPr>
        <w:t xml:space="preserve"> (1970, </w:t>
      </w:r>
      <w:r w:rsidRPr="0019387B">
        <w:rPr>
          <w:rFonts w:ascii="Palatino" w:hAnsi="Palatino" w:cs="Times New Roman"/>
        </w:rPr>
        <w:t xml:space="preserve">101-102). Higher education shifted from being in the political backwoods to being a major area of government policy and public expenditure. Within Canada’s decentralized higher education policy environment, the provinces, assigned responsibility for education under the Canadian constitution, developed their own provincial “systems” of higher </w:t>
      </w:r>
      <w:r w:rsidRPr="0019387B">
        <w:rPr>
          <w:rFonts w:ascii="Palatino" w:hAnsi="Palatino" w:cs="Times New Roman"/>
        </w:rPr>
        <w:lastRenderedPageBreak/>
        <w:t>education and their own mechanisms and arrangements for coordinating and regulating u</w:t>
      </w:r>
      <w:r w:rsidR="00CA6212">
        <w:rPr>
          <w:rFonts w:ascii="Palatino" w:hAnsi="Palatino" w:cs="Times New Roman"/>
        </w:rPr>
        <w:t>niversities and colleges (Jones</w:t>
      </w:r>
      <w:r w:rsidRPr="0019387B">
        <w:rPr>
          <w:rFonts w:ascii="Palatino" w:hAnsi="Palatino" w:cs="Times New Roman"/>
        </w:rPr>
        <w:t xml:space="preserve"> 1996</w:t>
      </w:r>
      <w:r w:rsidR="00432334">
        <w:rPr>
          <w:rFonts w:ascii="Palatino" w:hAnsi="Palatino" w:cs="Times New Roman"/>
        </w:rPr>
        <w:t>; 1997b</w:t>
      </w:r>
      <w:r w:rsidRPr="0019387B">
        <w:rPr>
          <w:rFonts w:ascii="Palatino" w:hAnsi="Palatino" w:cs="Times New Roman"/>
        </w:rPr>
        <w:t xml:space="preserve">). </w:t>
      </w:r>
    </w:p>
    <w:p w:rsidR="00D928B1" w:rsidRPr="0019387B" w:rsidRDefault="00D928B1" w:rsidP="00D928B1">
      <w:pPr>
        <w:spacing w:line="360" w:lineRule="auto"/>
        <w:jc w:val="both"/>
        <w:rPr>
          <w:rFonts w:ascii="Palatino" w:hAnsi="Palatino" w:cs="Times New Roman"/>
        </w:rPr>
      </w:pPr>
      <w:r w:rsidRPr="0019387B">
        <w:rPr>
          <w:rFonts w:ascii="Palatino" w:hAnsi="Palatino" w:cs="Times New Roman"/>
        </w:rPr>
        <w:t xml:space="preserve"> </w:t>
      </w:r>
    </w:p>
    <w:p w:rsidR="00D928B1" w:rsidRPr="0019387B" w:rsidRDefault="00D928B1" w:rsidP="00D928B1">
      <w:pPr>
        <w:spacing w:line="360" w:lineRule="auto"/>
        <w:jc w:val="both"/>
        <w:rPr>
          <w:rFonts w:ascii="Palatino" w:hAnsi="Palatino" w:cs="Times New Roman"/>
        </w:rPr>
      </w:pPr>
      <w:r w:rsidRPr="0019387B">
        <w:rPr>
          <w:rFonts w:ascii="Palatino" w:hAnsi="Palatino" w:cs="Times New Roman"/>
        </w:rPr>
        <w:t xml:space="preserve">The importance placed on higher education within public policy in relation to social and economic development has continued to increase over time. Universities and colleges are now positioned as key institutions that provide the highly educated/skilled human resources required for a rapidly changing economy; they are core components of provincial and national research and innovation systems. Provincial governments across Canada continue to view access to postsecondary education as a policy priority, and the Government of Canada has placed considerable emphasis on </w:t>
      </w:r>
      <w:r w:rsidR="00FF1595">
        <w:rPr>
          <w:rFonts w:ascii="Palatino" w:hAnsi="Palatino" w:cs="Times New Roman"/>
        </w:rPr>
        <w:t>investments in innovation (OECD</w:t>
      </w:r>
      <w:r w:rsidRPr="0019387B">
        <w:rPr>
          <w:rFonts w:ascii="Palatino" w:hAnsi="Palatino" w:cs="Times New Roman"/>
        </w:rPr>
        <w:t xml:space="preserve"> 2012). The role of higher education within the research and innovation agenda is particularly important in the Canadian context given that roughly one-third of all research and development activity expenditures are associated with the </w:t>
      </w:r>
      <w:r w:rsidR="0061777F">
        <w:rPr>
          <w:rFonts w:ascii="Palatino" w:hAnsi="Palatino" w:cs="Times New Roman"/>
        </w:rPr>
        <w:t xml:space="preserve">university </w:t>
      </w:r>
      <w:r w:rsidRPr="0019387B">
        <w:rPr>
          <w:rFonts w:ascii="Palatino" w:hAnsi="Palatino" w:cs="Times New Roman"/>
        </w:rPr>
        <w:t>secto</w:t>
      </w:r>
      <w:r w:rsidR="00FF1595">
        <w:rPr>
          <w:rFonts w:ascii="Palatino" w:hAnsi="Palatino" w:cs="Times New Roman"/>
        </w:rPr>
        <w:t>r (Canadian Council on Learning</w:t>
      </w:r>
      <w:r w:rsidRPr="0019387B">
        <w:rPr>
          <w:rFonts w:ascii="Palatino" w:hAnsi="Palatino" w:cs="Times New Roman"/>
        </w:rPr>
        <w:t xml:space="preserve"> 2009).</w:t>
      </w:r>
    </w:p>
    <w:p w:rsidR="00D928B1" w:rsidRDefault="00D928B1" w:rsidP="00D928B1">
      <w:pPr>
        <w:spacing w:line="360" w:lineRule="auto"/>
        <w:jc w:val="both"/>
        <w:rPr>
          <w:rFonts w:ascii="Palatino" w:hAnsi="Palatino" w:cs="Times New Roman"/>
        </w:rPr>
      </w:pPr>
    </w:p>
    <w:p w:rsidR="00D928B1" w:rsidRPr="0019387B" w:rsidRDefault="00D928B1" w:rsidP="00D928B1">
      <w:pPr>
        <w:spacing w:line="360" w:lineRule="auto"/>
        <w:jc w:val="both"/>
        <w:rPr>
          <w:rFonts w:ascii="Palatino" w:hAnsi="Palatino" w:cs="Times New Roman"/>
        </w:rPr>
      </w:pPr>
      <w:r w:rsidRPr="0019387B">
        <w:rPr>
          <w:rFonts w:ascii="Palatino" w:hAnsi="Palatino" w:cs="Times New Roman"/>
        </w:rPr>
        <w:t>While the importance of higher education as a sector of public policy is increasing, Canada’s national capacity to provide policy-makers with the data, evidence and policy research necessary for the development of informed public policy is in rapid decline. While Canada has never had a particularly strong infrastructure for higher education policy research (</w:t>
      </w:r>
      <w:r w:rsidR="00FF1595">
        <w:rPr>
          <w:rFonts w:ascii="Palatino" w:hAnsi="Palatino" w:cs="Times New Roman"/>
        </w:rPr>
        <w:t>Axelrod</w:t>
      </w:r>
      <w:r w:rsidR="00256B85">
        <w:rPr>
          <w:rFonts w:ascii="Palatino" w:hAnsi="Palatino" w:cs="Times New Roman"/>
        </w:rPr>
        <w:t xml:space="preserve"> 2013; Clark and Norrie</w:t>
      </w:r>
      <w:r w:rsidR="0061777F">
        <w:rPr>
          <w:rFonts w:ascii="Palatino" w:hAnsi="Palatino" w:cs="Times New Roman"/>
        </w:rPr>
        <w:t xml:space="preserve"> 2013; </w:t>
      </w:r>
      <w:r w:rsidR="00256B85">
        <w:rPr>
          <w:rFonts w:ascii="Palatino" w:hAnsi="Palatino" w:cs="Times New Roman"/>
        </w:rPr>
        <w:t>Dennison</w:t>
      </w:r>
      <w:r w:rsidRPr="0019387B">
        <w:rPr>
          <w:rFonts w:ascii="Palatino" w:hAnsi="Palatino" w:cs="Times New Roman"/>
        </w:rPr>
        <w:t xml:space="preserve"> 1992;</w:t>
      </w:r>
      <w:r w:rsidR="00256B85">
        <w:rPr>
          <w:rFonts w:ascii="Palatino" w:hAnsi="Palatino" w:cs="Times New Roman"/>
        </w:rPr>
        <w:t xml:space="preserve"> Jones 1997</w:t>
      </w:r>
      <w:r w:rsidR="009F081E">
        <w:rPr>
          <w:rFonts w:ascii="Palatino" w:hAnsi="Palatino" w:cs="Times New Roman"/>
        </w:rPr>
        <w:t>a</w:t>
      </w:r>
      <w:r w:rsidR="00256B85">
        <w:rPr>
          <w:rFonts w:ascii="Palatino" w:hAnsi="Palatino" w:cs="Times New Roman"/>
        </w:rPr>
        <w:t>, 2000; Sheffield 1981; Skolnik</w:t>
      </w:r>
      <w:r w:rsidRPr="0019387B">
        <w:rPr>
          <w:rFonts w:ascii="Palatino" w:hAnsi="Palatino" w:cs="Times New Roman"/>
        </w:rPr>
        <w:t xml:space="preserve"> 1991), a number of important components of this infrastructure have been either eliminated or effectively incapacitated. Canada’s ability to develop informed public policy for the higher education sector has been severely diminished by the gradual erosion of this policy research infrastructure</w:t>
      </w:r>
    </w:p>
    <w:p w:rsidR="00D928B1" w:rsidRDefault="00D928B1" w:rsidP="00D928B1">
      <w:pPr>
        <w:spacing w:line="360" w:lineRule="auto"/>
        <w:jc w:val="both"/>
        <w:rPr>
          <w:rFonts w:ascii="Palatino" w:hAnsi="Palatino" w:cs="Times New Roman"/>
        </w:rPr>
      </w:pPr>
    </w:p>
    <w:p w:rsidR="00D928B1" w:rsidRPr="0019387B" w:rsidRDefault="00D928B1" w:rsidP="00D928B1">
      <w:pPr>
        <w:spacing w:line="360" w:lineRule="auto"/>
        <w:jc w:val="both"/>
        <w:rPr>
          <w:rFonts w:ascii="Palatino" w:hAnsi="Palatino" w:cs="Times New Roman"/>
        </w:rPr>
      </w:pPr>
      <w:r w:rsidRPr="0019387B">
        <w:rPr>
          <w:rFonts w:ascii="Palatino" w:hAnsi="Palatino" w:cs="Times New Roman"/>
        </w:rPr>
        <w:t>I use the phrase “higher education policy research infrastructure” to refer to the wide range of activities, agencies, networks, and expertise associated with higher education policy research. In highly simplistic terms, this infrastructure includes the collection of reliable, timely data on the sec</w:t>
      </w:r>
      <w:r w:rsidR="000660F0">
        <w:rPr>
          <w:rFonts w:ascii="Palatino" w:hAnsi="Palatino" w:cs="Times New Roman"/>
        </w:rPr>
        <w:t>tor, the capacity to analyze the</w:t>
      </w:r>
      <w:r w:rsidRPr="0019387B">
        <w:rPr>
          <w:rFonts w:ascii="Palatino" w:hAnsi="Palatino" w:cs="Times New Roman"/>
        </w:rPr>
        <w:t>s</w:t>
      </w:r>
      <w:r w:rsidR="000660F0">
        <w:rPr>
          <w:rFonts w:ascii="Palatino" w:hAnsi="Palatino" w:cs="Times New Roman"/>
        </w:rPr>
        <w:t>e</w:t>
      </w:r>
      <w:r w:rsidRPr="0019387B">
        <w:rPr>
          <w:rFonts w:ascii="Palatino" w:hAnsi="Palatino" w:cs="Times New Roman"/>
        </w:rPr>
        <w:t xml:space="preserve"> data and monitor the sector, the ability to conduct research on key policy issues, the capacity to analyze </w:t>
      </w:r>
      <w:r w:rsidR="00CC17F7">
        <w:rPr>
          <w:rFonts w:ascii="Palatino" w:hAnsi="Palatino" w:cs="Times New Roman"/>
        </w:rPr>
        <w:t>policy options, and the ability</w:t>
      </w:r>
      <w:r w:rsidRPr="0019387B">
        <w:rPr>
          <w:rFonts w:ascii="Palatino" w:hAnsi="Palatino" w:cs="Times New Roman"/>
        </w:rPr>
        <w:t xml:space="preserve"> to inform those who are </w:t>
      </w:r>
      <w:r w:rsidRPr="0019387B">
        <w:rPr>
          <w:rFonts w:ascii="Palatino" w:hAnsi="Palatino" w:cs="Times New Roman"/>
        </w:rPr>
        <w:lastRenderedPageBreak/>
        <w:t>responsible for public policy on the “state” of the system, policy issues and challenges, and various policy options and alternatives. A key component of this infrastructure is associated with government itself: government units collect data on the activities and performance of the sector, government researchers and analysts review data, analyze policy issues and options, and provide reports and advice to those in positions of responsibility within government. Other components of this infrastructure are outside government, such as intermediary agencies, universities and colleges (</w:t>
      </w:r>
      <w:r w:rsidR="00CC17F7">
        <w:rPr>
          <w:rFonts w:ascii="Palatino" w:hAnsi="Palatino" w:cs="Times New Roman"/>
        </w:rPr>
        <w:t xml:space="preserve">which conduct </w:t>
      </w:r>
      <w:r w:rsidRPr="0019387B">
        <w:rPr>
          <w:rFonts w:ascii="Palatino" w:hAnsi="Palatino" w:cs="Times New Roman"/>
        </w:rPr>
        <w:t xml:space="preserve">institutional research and policy analysis), sector organizations, interests groups, private consultants, university research </w:t>
      </w:r>
      <w:proofErr w:type="spellStart"/>
      <w:r w:rsidRPr="0019387B">
        <w:rPr>
          <w:rFonts w:ascii="Palatino" w:hAnsi="Palatino" w:cs="Times New Roman"/>
        </w:rPr>
        <w:t>centres</w:t>
      </w:r>
      <w:proofErr w:type="spellEnd"/>
      <w:r w:rsidRPr="0019387B">
        <w:rPr>
          <w:rFonts w:ascii="Palatino" w:hAnsi="Palatino" w:cs="Times New Roman"/>
        </w:rPr>
        <w:t xml:space="preserve"> and individual scholars. This infrastructure can play a direct role in terms of supporting evidence-based policy, </w:t>
      </w:r>
      <w:r w:rsidR="0061777F">
        <w:rPr>
          <w:rFonts w:ascii="Palatino" w:hAnsi="Palatino" w:cs="Times New Roman"/>
        </w:rPr>
        <w:t>but it also fulfills a broader function</w:t>
      </w:r>
      <w:r w:rsidRPr="0019387B">
        <w:rPr>
          <w:rFonts w:ascii="Palatino" w:hAnsi="Palatino" w:cs="Times New Roman"/>
        </w:rPr>
        <w:t xml:space="preserve"> in furthering informed public debate of the role of higher education in contemporary society and other higher education issues.</w:t>
      </w:r>
    </w:p>
    <w:p w:rsidR="00D928B1" w:rsidRDefault="00D928B1" w:rsidP="00D928B1">
      <w:pPr>
        <w:spacing w:line="360" w:lineRule="auto"/>
        <w:jc w:val="both"/>
        <w:rPr>
          <w:rFonts w:ascii="Palatino" w:hAnsi="Palatino" w:cs="Times New Roman"/>
        </w:rPr>
      </w:pPr>
    </w:p>
    <w:p w:rsidR="00D928B1" w:rsidRPr="0019387B" w:rsidRDefault="00D928B1" w:rsidP="00D928B1">
      <w:pPr>
        <w:spacing w:line="360" w:lineRule="auto"/>
        <w:jc w:val="both"/>
        <w:rPr>
          <w:rFonts w:ascii="Palatino" w:hAnsi="Palatino" w:cs="Times New Roman"/>
        </w:rPr>
      </w:pPr>
      <w:r w:rsidRPr="0019387B">
        <w:rPr>
          <w:rFonts w:ascii="Palatino" w:hAnsi="Palatino" w:cs="Times New Roman"/>
        </w:rPr>
        <w:t xml:space="preserve">The decline of Canada’s higher education research capacity can be seen as a function of three factors: (1) the degradation of the national data infrastructure; (2) a national policy research vacuum created by the withdrawal of support for arms-length agencies with a higher education research function; and (3) the diminished capacity for policy research and analysis within provincial governments associated with government austerity and restructuring. </w:t>
      </w:r>
    </w:p>
    <w:p w:rsidR="00D928B1" w:rsidRDefault="00D928B1" w:rsidP="00D928B1">
      <w:pPr>
        <w:spacing w:line="360" w:lineRule="auto"/>
        <w:jc w:val="both"/>
        <w:rPr>
          <w:rFonts w:ascii="Palatino" w:hAnsi="Palatino" w:cs="Times New Roman"/>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rPr>
        <w:t>Statistics Canada (StatsCan) has received major cuts to funding which have had important implications for this federal agency’s ability to fulfill its mandate as Canada’s national statistical office, and while the impact of underfunding has been felt across a range of policy sectors, the data infrastructure for higher education policy has be</w:t>
      </w:r>
      <w:r w:rsidR="00256B85">
        <w:rPr>
          <w:rFonts w:ascii="Palatino" w:hAnsi="Palatino" w:cs="Times New Roman"/>
        </w:rPr>
        <w:t>en hit particularly hard (Jones</w:t>
      </w:r>
      <w:r w:rsidRPr="0019387B">
        <w:rPr>
          <w:rFonts w:ascii="Palatino" w:hAnsi="Palatino" w:cs="Times New Roman"/>
        </w:rPr>
        <w:t xml:space="preserve"> 2012). There is a history of long delays in the reporting of even basic data, a problem that has been noted by the OECD (Jones, Shanahan, </w:t>
      </w:r>
      <w:proofErr w:type="spellStart"/>
      <w:r w:rsidRPr="0019387B">
        <w:rPr>
          <w:rFonts w:ascii="Palatino" w:hAnsi="Palatino" w:cs="Times New Roman"/>
        </w:rPr>
        <w:t>Pa</w:t>
      </w:r>
      <w:r w:rsidR="00256B85">
        <w:rPr>
          <w:rFonts w:ascii="Palatino" w:hAnsi="Palatino" w:cs="Times New Roman"/>
        </w:rPr>
        <w:t>dure</w:t>
      </w:r>
      <w:proofErr w:type="spellEnd"/>
      <w:r w:rsidR="00256B85">
        <w:rPr>
          <w:rFonts w:ascii="Palatino" w:hAnsi="Palatino" w:cs="Times New Roman"/>
        </w:rPr>
        <w:t>, Lamoureux and Gregor</w:t>
      </w:r>
      <w:r w:rsidRPr="0019387B">
        <w:rPr>
          <w:rFonts w:ascii="Palatino" w:hAnsi="Palatino" w:cs="Times New Roman"/>
        </w:rPr>
        <w:t xml:space="preserve"> 2008). Over the last few years StatsCan and other relevant government departments have rationalized their portfolio of data collection</w:t>
      </w:r>
      <w:r w:rsidR="00BB5447">
        <w:rPr>
          <w:rFonts w:ascii="Palatino" w:hAnsi="Palatino" w:cs="Times New Roman"/>
        </w:rPr>
        <w:t xml:space="preserve"> instruments in response to changing </w:t>
      </w:r>
      <w:r w:rsidRPr="0019387B">
        <w:rPr>
          <w:rFonts w:ascii="Palatino" w:hAnsi="Palatino" w:cs="Times New Roman"/>
        </w:rPr>
        <w:t>fiscal realities, including discontinuing a number of important surveys related to higher education, such as the Youth in Transition Survey (YITS), and the National Longitudinal Sur</w:t>
      </w:r>
      <w:r w:rsidR="00256B85">
        <w:rPr>
          <w:rFonts w:ascii="Palatino" w:hAnsi="Palatino" w:cs="Times New Roman"/>
        </w:rPr>
        <w:t>vey of Children and Youth (Fine</w:t>
      </w:r>
      <w:r w:rsidRPr="0019387B">
        <w:rPr>
          <w:rFonts w:ascii="Palatino" w:hAnsi="Palatino" w:cs="Times New Roman"/>
        </w:rPr>
        <w:t xml:space="preserve"> 2010). StatsCan </w:t>
      </w:r>
      <w:r w:rsidRPr="0019387B">
        <w:rPr>
          <w:rFonts w:ascii="Palatino" w:hAnsi="Palatino" w:cs="Times New Roman"/>
        </w:rPr>
        <w:lastRenderedPageBreak/>
        <w:t xml:space="preserve">eliminated </w:t>
      </w:r>
      <w:r w:rsidRPr="0019387B">
        <w:rPr>
          <w:rFonts w:ascii="Palatino" w:hAnsi="Palatino" w:cs="Times New Roman"/>
          <w:i/>
          <w:iCs/>
        </w:rPr>
        <w:t>Education Matters: Insights on Education, Learning and Training in Canada,</w:t>
      </w:r>
      <w:r w:rsidRPr="0019387B">
        <w:rPr>
          <w:rFonts w:ascii="Palatino" w:hAnsi="Palatino" w:cs="Times New Roman"/>
          <w:iCs/>
        </w:rPr>
        <w:t xml:space="preserve"> a periodical that provided a forum for the presentation and analysis of statistical data on education and postsecondary education in Canada. In 2012 it announced the discontinuation of the University and College Academic Staff System (UCASS), Canada’s only source of national data on full-time university faculty (number, age, gender, rank, salaries, etc.). In short, Canada’s national statistical agency is collecting less data on higher education students than it did a decade ago, and it is no longer collecting any data on university faculty</w:t>
      </w:r>
      <w:r w:rsidRPr="004875DD">
        <w:rPr>
          <w:rStyle w:val="FootnoteReference"/>
        </w:rPr>
        <w:footnoteReference w:id="1"/>
      </w:r>
      <w:r w:rsidRPr="0019387B">
        <w:rPr>
          <w:rFonts w:ascii="Palatino" w:hAnsi="Palatino" w:cs="Times New Roman"/>
          <w:iCs/>
        </w:rPr>
        <w:t xml:space="preserve">.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The federal government has also eliminated support for two arms-length agencies that played a national role in policy research. The Canada Millennium Scholarship Foundation pursued an influential program of research on postsecondary accessibility and student funding and represented an important resource for policy development within the provinces. The Foundation shut its doors in 2009 following a government decision not to renew its mandate, leaving a vacuum in terms of national policy research on issues of participation and student financial support</w:t>
      </w:r>
      <w:r w:rsidR="000660F0">
        <w:rPr>
          <w:rFonts w:ascii="Palatino" w:hAnsi="Palatino" w:cs="Times New Roman"/>
          <w:iCs/>
        </w:rPr>
        <w:t xml:space="preserve"> (Jones, 2012)</w:t>
      </w:r>
      <w:r w:rsidRPr="0019387B">
        <w:rPr>
          <w:rFonts w:ascii="Palatino" w:hAnsi="Palatino" w:cs="Times New Roman"/>
          <w:iCs/>
        </w:rPr>
        <w:t>. The Canadian Council on Learning was created in 2004 with a mandate to improve learning across the life-span. Its broad agenda included supporting research on early childhood education through to adult learning. While the Council conducted little original research on higher education, it released a series of reports summarizing key policy issues and challenges, including arguing that Canada needed to collect more data on the performance of its provincial higher education system</w:t>
      </w:r>
      <w:r w:rsidR="00F034DB">
        <w:rPr>
          <w:rFonts w:ascii="Palatino" w:hAnsi="Palatino" w:cs="Times New Roman"/>
          <w:iCs/>
        </w:rPr>
        <w:t>s (Canadian Council on Learning 2009; Clark, Trick &amp; Van Loon 2011; Jones</w:t>
      </w:r>
      <w:r w:rsidRPr="0019387B">
        <w:rPr>
          <w:rFonts w:ascii="Palatino" w:hAnsi="Palatino" w:cs="Times New Roman"/>
          <w:iCs/>
        </w:rPr>
        <w:t xml:space="preserve"> 2012).</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There has also been a diminution of capacity for higher education policy research in at least some Canadian provinces. Some provinces have never had the resources or capacity to conduct anything more than the most basic forms of higher education policy analysis within government and have relied heavily on national data systems, while for others, government austerity measures have led </w:t>
      </w:r>
      <w:r w:rsidRPr="0019387B">
        <w:rPr>
          <w:rFonts w:ascii="Palatino" w:hAnsi="Palatino" w:cs="Times New Roman"/>
          <w:iCs/>
        </w:rPr>
        <w:lastRenderedPageBreak/>
        <w:t>to the reorganization of government units and reductions in the public service</w:t>
      </w:r>
      <w:r w:rsidRPr="004875DD">
        <w:rPr>
          <w:rStyle w:val="FootnoteReference"/>
        </w:rPr>
        <w:footnoteReference w:id="2"/>
      </w:r>
      <w:r w:rsidRPr="0019387B">
        <w:rPr>
          <w:rFonts w:ascii="Palatino" w:hAnsi="Palatino" w:cs="Times New Roman"/>
          <w:iCs/>
        </w:rPr>
        <w:t xml:space="preserve"> – changes which have had a negative impact on the capacity within government to support the development of evidence-based policy. There are certainly exceptions, but most provinces do not have much internal capacity for higher education policy research and analysis.</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Given these three factors, there are concerns that the Government of Canada and the Canadian provinces may not have the policy research and analysis capacity necessary for the development of sound evidence-based higher education policy. While the absence of data, research or analysis has never prevented a government from making decisions, the current state of affairs raises serious questions about government’s capacity to monitor and improve a sector that is one of Canada’s largest areas of public expenditure</w:t>
      </w:r>
      <w:r w:rsidR="00F034DB">
        <w:rPr>
          <w:rFonts w:ascii="Palatino" w:hAnsi="Palatino" w:cs="Times New Roman"/>
          <w:iCs/>
        </w:rPr>
        <w:t>s (Canadian Council on Learning 2009; Clark, Trick &amp; Van Loon 2011; Jones 2012; Jones et al.</w:t>
      </w:r>
      <w:r w:rsidRPr="0019387B">
        <w:rPr>
          <w:rFonts w:ascii="Palatino" w:hAnsi="Palatino" w:cs="Times New Roman"/>
          <w:iCs/>
        </w:rPr>
        <w:t xml:space="preserve"> 2008; Rae, 2005).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While Canada may be particularly challenged in this area, underscoring the Canadian experience is a core policy issue of considerable international importance. How can governments strengthen the national higher education policy research infrastructure so that they have the data, research findings and policy analysis needed to improve higher education policy? As higher education systems continue to expand and become more complex, governments face increasingly complicated public policy issues related to system performance, quality, accountability, and access, as well </w:t>
      </w:r>
      <w:r w:rsidR="002154D0">
        <w:rPr>
          <w:rFonts w:ascii="Palatino" w:hAnsi="Palatino" w:cs="Times New Roman"/>
          <w:iCs/>
        </w:rPr>
        <w:t xml:space="preserve">as </w:t>
      </w:r>
      <w:r w:rsidRPr="0019387B">
        <w:rPr>
          <w:rFonts w:ascii="Palatino" w:hAnsi="Palatino" w:cs="Times New Roman"/>
          <w:iCs/>
        </w:rPr>
        <w:t>extraordinari</w:t>
      </w:r>
      <w:r w:rsidR="00B307EE">
        <w:rPr>
          <w:rFonts w:ascii="Palatino" w:hAnsi="Palatino" w:cs="Times New Roman"/>
          <w:iCs/>
        </w:rPr>
        <w:t>ly challenging policy questions</w:t>
      </w:r>
      <w:r w:rsidRPr="0019387B">
        <w:rPr>
          <w:rFonts w:ascii="Palatino" w:hAnsi="Palatino" w:cs="Times New Roman"/>
          <w:iCs/>
        </w:rPr>
        <w:t xml:space="preserve"> associated with the relationships between higher education,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and the national research and innovation system. How can governments obtain the research and analysis they need to make informed choices? </w:t>
      </w:r>
    </w:p>
    <w:p w:rsidR="00D928B1" w:rsidRDefault="00B307EE" w:rsidP="00D928B1">
      <w:pPr>
        <w:spacing w:line="360" w:lineRule="auto"/>
        <w:jc w:val="both"/>
        <w:rPr>
          <w:rFonts w:ascii="Palatino" w:hAnsi="Palatino" w:cs="Times New Roman"/>
          <w:iCs/>
        </w:rPr>
      </w:pPr>
      <w:r>
        <w:rPr>
          <w:rFonts w:ascii="Palatino" w:hAnsi="Palatino" w:cs="Times New Roman"/>
          <w:iCs/>
        </w:rPr>
        <w:tab/>
        <w:t xml:space="preserve">The importance of a strong national data and policy research infrastructure can be illustrated by briefly reviewing two key policy issues in Canadian higher education: broadening access and facilitating student mobility </w:t>
      </w:r>
      <w:r>
        <w:rPr>
          <w:rFonts w:ascii="Palatino" w:hAnsi="Palatino" w:cs="Times New Roman"/>
          <w:iCs/>
        </w:rPr>
        <w:lastRenderedPageBreak/>
        <w:t xml:space="preserve">within a higher education system, and the increasing fragmentation of academic work. </w:t>
      </w:r>
    </w:p>
    <w:p w:rsidR="00D928B1" w:rsidRPr="0019387B" w:rsidRDefault="00D928B1" w:rsidP="00D928B1">
      <w:pPr>
        <w:spacing w:line="360" w:lineRule="auto"/>
        <w:jc w:val="both"/>
        <w:rPr>
          <w:rFonts w:ascii="Palatino" w:hAnsi="Palatino" w:cs="Times New Roman"/>
          <w:iCs/>
        </w:rPr>
      </w:pPr>
    </w:p>
    <w:p w:rsidR="00D928B1" w:rsidRDefault="00D928B1" w:rsidP="00D928B1">
      <w:pPr>
        <w:spacing w:line="360" w:lineRule="auto"/>
        <w:jc w:val="both"/>
        <w:rPr>
          <w:rFonts w:ascii="Palatino" w:hAnsi="Palatino" w:cs="Times New Roman"/>
          <w:b/>
          <w:iCs/>
        </w:rPr>
      </w:pPr>
      <w:r w:rsidRPr="0019387B">
        <w:rPr>
          <w:rFonts w:ascii="Palatino" w:hAnsi="Palatino" w:cs="Times New Roman"/>
          <w:b/>
          <w:iCs/>
        </w:rPr>
        <w:t xml:space="preserve">Broadening </w:t>
      </w:r>
      <w:r>
        <w:rPr>
          <w:rFonts w:ascii="Palatino" w:hAnsi="Palatino" w:cs="Times New Roman"/>
          <w:b/>
          <w:iCs/>
        </w:rPr>
        <w:t>a</w:t>
      </w:r>
      <w:r w:rsidRPr="0019387B">
        <w:rPr>
          <w:rFonts w:ascii="Palatino" w:hAnsi="Palatino" w:cs="Times New Roman"/>
          <w:b/>
          <w:iCs/>
        </w:rPr>
        <w:t xml:space="preserve">ccess and </w:t>
      </w:r>
      <w:r>
        <w:rPr>
          <w:rFonts w:ascii="Palatino" w:hAnsi="Palatino" w:cs="Times New Roman"/>
          <w:b/>
          <w:iCs/>
        </w:rPr>
        <w:t>f</w:t>
      </w:r>
      <w:r w:rsidRPr="0019387B">
        <w:rPr>
          <w:rFonts w:ascii="Palatino" w:hAnsi="Palatino" w:cs="Times New Roman"/>
          <w:b/>
          <w:iCs/>
        </w:rPr>
        <w:t xml:space="preserve">acilitating </w:t>
      </w:r>
      <w:r>
        <w:rPr>
          <w:rFonts w:ascii="Palatino" w:hAnsi="Palatino" w:cs="Times New Roman"/>
          <w:b/>
          <w:iCs/>
        </w:rPr>
        <w:t>m</w:t>
      </w:r>
      <w:r w:rsidRPr="0019387B">
        <w:rPr>
          <w:rFonts w:ascii="Palatino" w:hAnsi="Palatino" w:cs="Times New Roman"/>
          <w:b/>
          <w:iCs/>
        </w:rPr>
        <w:t>obility</w:t>
      </w:r>
    </w:p>
    <w:p w:rsidR="00125917" w:rsidRPr="0019387B" w:rsidRDefault="00125917" w:rsidP="00D928B1">
      <w:pPr>
        <w:spacing w:line="360" w:lineRule="auto"/>
        <w:jc w:val="both"/>
        <w:rPr>
          <w:rFonts w:ascii="Palatino" w:hAnsi="Palatino" w:cs="Times New Roman"/>
          <w:b/>
          <w:iCs/>
        </w:rPr>
      </w:pPr>
    </w:p>
    <w:p w:rsidR="00D928B1" w:rsidRPr="0019387B" w:rsidRDefault="002154D0" w:rsidP="00D928B1">
      <w:pPr>
        <w:spacing w:line="360" w:lineRule="auto"/>
        <w:jc w:val="both"/>
        <w:rPr>
          <w:rFonts w:ascii="Palatino" w:hAnsi="Palatino" w:cs="Times New Roman"/>
          <w:iCs/>
        </w:rPr>
      </w:pPr>
      <w:r>
        <w:rPr>
          <w:rFonts w:ascii="Palatino" w:hAnsi="Palatino" w:cs="Times New Roman"/>
          <w:iCs/>
        </w:rPr>
        <w:t>Accessibility is a wonderful example of a policy issue that requires a strong national data system in order to understand the nuances of student participation, the challe</w:t>
      </w:r>
      <w:r w:rsidR="00B307EE">
        <w:rPr>
          <w:rFonts w:ascii="Palatino" w:hAnsi="Palatino" w:cs="Times New Roman"/>
          <w:iCs/>
        </w:rPr>
        <w:t xml:space="preserve">nges of expanding access to include previously under-represented populations, and the complexities of student mobility and student success within complex systems of higher education. </w:t>
      </w:r>
      <w:r w:rsidR="00D928B1" w:rsidRPr="0019387B">
        <w:rPr>
          <w:rFonts w:ascii="Palatino" w:hAnsi="Palatino" w:cs="Times New Roman"/>
          <w:iCs/>
        </w:rPr>
        <w:t xml:space="preserve">Like many other countries, access to higher education in Canada has been a major policy issue since the mid twentieth century. With the initial expansion of university spaces to meet the needs of returning WWII veterans, and the continuing expansion designed to address the increased demand for high education following the war, Canada became one of only a small number of countries that already fit </w:t>
      </w:r>
      <w:proofErr w:type="spellStart"/>
      <w:r w:rsidR="00D928B1" w:rsidRPr="0019387B">
        <w:rPr>
          <w:rFonts w:ascii="Palatino" w:hAnsi="Palatino" w:cs="Times New Roman"/>
          <w:iCs/>
        </w:rPr>
        <w:t>Trow’s</w:t>
      </w:r>
      <w:proofErr w:type="spellEnd"/>
      <w:r w:rsidR="00D928B1" w:rsidRPr="0019387B">
        <w:rPr>
          <w:rFonts w:ascii="Palatino" w:hAnsi="Palatino" w:cs="Times New Roman"/>
          <w:iCs/>
        </w:rPr>
        <w:t xml:space="preserve"> definition of a mass system of higher education when he published his classic essay on the transition from elite to mass to universal higher education (1973).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Institutional diversity was a key component of this transition.  The Canadian provinces created “other” institutional types in order to expand access and address the needs of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These new institutions, generally captured under the umbrella term “community colleges,” varied in mission and structure by province. All of these institutions assumed a major role in the provision of a comprehensive range of technical/vocational educational programs designed to prepare students for specific occupations in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In addition, in some provinces these institutions were assigned specific roles in relation to the university sector: in Alberta and British Columbia the colleges offered university transfer programs so that students could take the first two years of a university degree program at a local college before transferring to a university to complete their university degree; in Quebec, secondary school graduates are required to complete a two-year academic program at a college before they go to university</w:t>
      </w:r>
      <w:r w:rsidRPr="0019387B">
        <w:rPr>
          <w:rFonts w:ascii="Palatino" w:eastAsia="Calibri" w:hAnsi="Palatino" w:cs="Times New Roman"/>
        </w:rPr>
        <w:t xml:space="preserve"> (</w:t>
      </w:r>
      <w:r w:rsidR="00F034DB">
        <w:rPr>
          <w:rFonts w:ascii="Palatino" w:hAnsi="Palatino" w:cs="Times New Roman"/>
          <w:iCs/>
        </w:rPr>
        <w:t>Dennison and Gallagher</w:t>
      </w:r>
      <w:r w:rsidRPr="0019387B">
        <w:rPr>
          <w:rFonts w:ascii="Palatino" w:hAnsi="Palatino" w:cs="Times New Roman"/>
          <w:iCs/>
        </w:rPr>
        <w:t xml:space="preserve"> 1986)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lastRenderedPageBreak/>
        <w:t>This increase in institutional diversity meant that students had new educational program options and pathways. If they were qualified, they could choose a university pathway by either directly enrolling in what had become an increasingly homogeneous university sector or, in some provinces, by taking pre-university or university transfer courses in the college sector. They could also choose to take a technical or vocationally oriented educational progr</w:t>
      </w:r>
      <w:r w:rsidR="00F034DB">
        <w:rPr>
          <w:rFonts w:ascii="Palatino" w:hAnsi="Palatino" w:cs="Times New Roman"/>
          <w:iCs/>
        </w:rPr>
        <w:t>am in the college sector (Jones</w:t>
      </w:r>
      <w:r w:rsidRPr="0019387B">
        <w:rPr>
          <w:rFonts w:ascii="Palatino" w:hAnsi="Palatino" w:cs="Times New Roman"/>
          <w:iCs/>
        </w:rPr>
        <w:t xml:space="preserve"> 2009). It soon became clear that these were more than simply pathways towards different types of education. </w:t>
      </w:r>
      <w:r w:rsidR="00125917">
        <w:rPr>
          <w:rFonts w:ascii="Palatino" w:hAnsi="Palatino" w:cs="Times New Roman"/>
          <w:iCs/>
        </w:rPr>
        <w:t>In some provinces t</w:t>
      </w:r>
      <w:r w:rsidRPr="0019387B">
        <w:rPr>
          <w:rFonts w:ascii="Palatino" w:hAnsi="Palatino" w:cs="Times New Roman"/>
          <w:iCs/>
        </w:rPr>
        <w:t>he profile of students attending community colleges was quite different than the profile of student attending university, with the former attracting a much larger share of students with a low</w:t>
      </w:r>
      <w:r w:rsidR="00F034DB">
        <w:rPr>
          <w:rFonts w:ascii="Palatino" w:hAnsi="Palatino" w:cs="Times New Roman"/>
          <w:iCs/>
        </w:rPr>
        <w:t>er socio-economic status (Jones</w:t>
      </w:r>
      <w:r w:rsidRPr="0019387B">
        <w:rPr>
          <w:rFonts w:ascii="Palatino" w:hAnsi="Palatino" w:cs="Times New Roman"/>
          <w:iCs/>
        </w:rPr>
        <w:t xml:space="preserve"> 2009), as well as students who were less-qualified based on their secondary school grades.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Community colleges continue to play a major role in providing access to higher education</w:t>
      </w:r>
      <w:r w:rsidRPr="004875DD">
        <w:rPr>
          <w:rStyle w:val="FootnoteReference"/>
        </w:rPr>
        <w:footnoteReference w:id="3"/>
      </w:r>
      <w:r w:rsidRPr="0019387B">
        <w:rPr>
          <w:rFonts w:ascii="Palatino" w:hAnsi="Palatino" w:cs="Times New Roman"/>
          <w:iCs/>
        </w:rPr>
        <w:t xml:space="preserve"> in Canada, in fact while Canada continues to have one of the highest participation rates in higher education in the world, the share of those students in tertiary-level programs is higher than in many other OECD nations. Given the success of the colleges in terms of providing access to under-represented populations and the continuing demand for university-level degrees, some provinces have expanded the role of the colleges to include some limited form of degree-granting, or re-designated specific institutions as teaching-intensive university. There has been an expansion in both the types of institutions with the legal authority to grant degrees, and in the development of hyb</w:t>
      </w:r>
      <w:r w:rsidR="00F034DB">
        <w:rPr>
          <w:rFonts w:ascii="Palatino" w:hAnsi="Palatino" w:cs="Times New Roman"/>
          <w:iCs/>
        </w:rPr>
        <w:t>rid institutional forms (Jones 2009; Marshall</w:t>
      </w:r>
      <w:r w:rsidRPr="0019387B">
        <w:rPr>
          <w:rFonts w:ascii="Palatino" w:hAnsi="Palatino" w:cs="Times New Roman"/>
          <w:iCs/>
        </w:rPr>
        <w:t xml:space="preserve"> 2008).</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Access continues to be a major policy priority for provincial governments across the country, and there are two types of access issues that are particularly important and complex. The first is the issue of broadening access so that there will be greater participation from previously under-represented populations. The second is how to facilitate student mobility between diverse institutions and programs.</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While Canada has very high participation rates, it has become increasingly clear that certain populations are being left behind. With a low birthrate and an aging population, it is important to find ways of engaging under-represented populations in order to further the social and economic development of the nation. This is neither a new, nor a uniquely Canadian problem, but it is a tremendously challenging issue intersecting research and policy in higher education, and it is an issue that is not going away. Canada’s aboriginal peoples, for example, have much lower participation rates than the Canadian population as a whole, and there is a broad recognition that governments need to develop much better targeted programs to address this serious problem. Access issues are always multifaceted and complex. As David Watson has noted, they are “wicked problems”</w:t>
      </w:r>
      <w:r w:rsidRPr="0019387B">
        <w:rPr>
          <w:rFonts w:ascii="Palatino" w:eastAsia="Times New Roman" w:hAnsi="Palatino" w:cs="Times New Roman"/>
          <w:lang w:eastAsia="en-CA"/>
        </w:rPr>
        <w:t xml:space="preserve"> i</w:t>
      </w:r>
      <w:r w:rsidRPr="0019387B">
        <w:rPr>
          <w:rFonts w:ascii="Palatino" w:hAnsi="Palatino" w:cs="Times New Roman"/>
          <w:iCs/>
        </w:rPr>
        <w:t>n that they are difficult to define and no clear solutions may exist</w:t>
      </w:r>
      <w:r w:rsidRPr="004875DD">
        <w:rPr>
          <w:rStyle w:val="FootnoteReference"/>
        </w:rPr>
        <w:footnoteReference w:id="4"/>
      </w:r>
      <w:r w:rsidRPr="0019387B">
        <w:rPr>
          <w:rFonts w:ascii="Palatino" w:hAnsi="Palatino" w:cs="Times New Roman"/>
          <w:iCs/>
        </w:rPr>
        <w:t>.  Policy research related to increasing access for under-represented populations is, and will continue to be, tremendously important.</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The second type of access policy issue relates to the movement of students between diverse institutional types. In the context of lifelong learning and a rapidly changing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the assumption that an individual will obtain a higher education credential and then pursue a single career until retirement is becoming increasingly problematic. It is also illogical to assume that educational pathways are linear and that graduates will return to institutions of higher education only to pursue the next step up on the educational ladder following their initial education.  It has become quite commonplace for students with a university degree to then </w:t>
      </w:r>
      <w:r w:rsidR="00BB5447" w:rsidRPr="0019387B">
        <w:rPr>
          <w:rFonts w:ascii="Palatino" w:hAnsi="Palatino" w:cs="Times New Roman"/>
          <w:iCs/>
        </w:rPr>
        <w:t>enroll</w:t>
      </w:r>
      <w:r w:rsidRPr="0019387B">
        <w:rPr>
          <w:rFonts w:ascii="Palatino" w:hAnsi="Palatino" w:cs="Times New Roman"/>
          <w:iCs/>
        </w:rPr>
        <w:t xml:space="preserve"> in a specialized vocational program within a community college, therefore creating their own polytechnical education by combining existing pr</w:t>
      </w:r>
      <w:r w:rsidR="0098776C">
        <w:rPr>
          <w:rFonts w:ascii="Palatino" w:hAnsi="Palatino" w:cs="Times New Roman"/>
          <w:iCs/>
        </w:rPr>
        <w:t>ograms and credentials  (Jones and Skolnik</w:t>
      </w:r>
      <w:r w:rsidRPr="0019387B">
        <w:rPr>
          <w:rFonts w:ascii="Palatino" w:hAnsi="Palatino" w:cs="Times New Roman"/>
          <w:iCs/>
        </w:rPr>
        <w:t xml:space="preserve"> 2009). As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evolves, mid-career employees return to the higher education sector for more advance training in their field, to pursue the education required for an entirely new career direction, or to create their own unique repertoire of educational experiences and credentials in order to address their individual </w:t>
      </w:r>
      <w:r w:rsidRPr="0019387B">
        <w:rPr>
          <w:rFonts w:ascii="Palatino" w:hAnsi="Palatino" w:cs="Times New Roman"/>
          <w:iCs/>
        </w:rPr>
        <w:lastRenderedPageBreak/>
        <w:t>needs. Universal systems of higher education need to find ways to facilitate and accommodate increasingly idiosyncratic pathways between different programs and institutional types.</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In the Canadian context, the development of university transfer courses offered by community colleges in some provinces played a key role in facilitating student mobility between sectors. The provinces of British Columbia and Alberta have gone even further through the creation of Councils of Admissions and Transfer that provide students with detailed information on how degree-level credits earned in one institution will be recognized by others, thus making issues of credit recognition quite transparent within these provincial systems. In Ontario, community colleges have developed post-graduate programs designed to provide a specialized vocational education to individuals who already have a university degree or community college credential.</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There is, however, a quite important distinction between what might be called “traditional transfer,” where students complete a program of study in the non-university sector that was designed for the purposes of transfer and then transfer to a university in order to complete a degree program, and “occupational transfer” where students complete a specialized occupational program and then attempt to transfer into a university degree program</w:t>
      </w:r>
      <w:r w:rsidRPr="004875DD">
        <w:rPr>
          <w:rStyle w:val="FootnoteReference"/>
        </w:rPr>
        <w:footnoteReference w:id="5"/>
      </w:r>
      <w:r w:rsidRPr="0019387B">
        <w:rPr>
          <w:rFonts w:ascii="Palatino" w:hAnsi="Palatino" w:cs="Times New Roman"/>
          <w:iCs/>
        </w:rPr>
        <w:t xml:space="preserve">. The origins of the “traditional transfer” model can be traced back to the junior colleges that were established in the United States early in the twentieth century, and then to the development of American community colleges with explicit transfer programs (Cohen </w:t>
      </w:r>
      <w:r w:rsidR="0098776C">
        <w:rPr>
          <w:rFonts w:ascii="Palatino" w:hAnsi="Palatino" w:cs="Times New Roman"/>
          <w:iCs/>
        </w:rPr>
        <w:t>and Brawer</w:t>
      </w:r>
      <w:r w:rsidRPr="0019387B">
        <w:rPr>
          <w:rFonts w:ascii="Palatino" w:hAnsi="Palatino" w:cs="Times New Roman"/>
          <w:iCs/>
        </w:rPr>
        <w:t xml:space="preserve"> 1984). In this model, students move through a pathway that was explicitly designed to facilitate transfer, from a transfer program or credential  (such as the associate degree in the United States) designed to be equivalent to the early years of a university degree into the later years of a degree program within a university. The United Kingdom’s foundation degree, frequently offered through collaborative arrangements involving higher and further education sector institutions, is recognized as a stepping-stone towards </w:t>
      </w:r>
      <w:r w:rsidRPr="0019387B">
        <w:rPr>
          <w:rFonts w:ascii="Palatino" w:hAnsi="Palatino" w:cs="Times New Roman"/>
          <w:iCs/>
        </w:rPr>
        <w:lastRenderedPageBreak/>
        <w:t xml:space="preserve">the more traditional </w:t>
      </w:r>
      <w:proofErr w:type="spellStart"/>
      <w:r w:rsidRPr="0019387B">
        <w:rPr>
          <w:rFonts w:ascii="Palatino" w:hAnsi="Palatino" w:cs="Times New Roman"/>
          <w:iCs/>
        </w:rPr>
        <w:t>honours</w:t>
      </w:r>
      <w:proofErr w:type="spellEnd"/>
      <w:r w:rsidRPr="0019387B">
        <w:rPr>
          <w:rFonts w:ascii="Palatino" w:hAnsi="Palatino" w:cs="Times New Roman"/>
          <w:iCs/>
        </w:rPr>
        <w:t xml:space="preserve"> degree. In contrast to transfer programs, specialized vocational programs were designed to lead directly into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and many were originally envisioned as terminal credentials. There may be mechanisms for laddered further education within the vocational specialization, but there can be huge challenges associated with transfer into university programs. In a major program of research in the United States on ways to improve baccalaureate attainment opportunities for students in applied associate degree programs, Townsend, Bragg and Ruud (2008) noted three quite different types of occupational transfer and found that were serious problems in the transfer process associated with each type.</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As the need for high-level skills and knowledge increases within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it becomes important to ensure that individuals can move relatively easily between programs and institutional types within the higher education system. The failure to recognize prior learning and skills can lead to inefficient duplication, create dead-ends, and generally thwart advancement within the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The issue has even broader implications since community colleges in Canada have generally provided far greater access to more marginalized populations than</w:t>
      </w:r>
      <w:r w:rsidR="0098776C">
        <w:rPr>
          <w:rFonts w:ascii="Palatino" w:hAnsi="Palatino" w:cs="Times New Roman"/>
          <w:iCs/>
        </w:rPr>
        <w:t xml:space="preserve"> the university (Berger, Motte and Parkin 2007; </w:t>
      </w:r>
      <w:proofErr w:type="spellStart"/>
      <w:r w:rsidR="0098776C">
        <w:rPr>
          <w:rFonts w:ascii="Palatino" w:hAnsi="Palatino" w:cs="Times New Roman"/>
          <w:iCs/>
        </w:rPr>
        <w:t>Drolet</w:t>
      </w:r>
      <w:proofErr w:type="spellEnd"/>
      <w:r w:rsidRPr="0019387B">
        <w:rPr>
          <w:rFonts w:ascii="Palatino" w:hAnsi="Palatino" w:cs="Times New Roman"/>
          <w:iCs/>
        </w:rPr>
        <w:t xml:space="preserve"> 2005</w:t>
      </w:r>
      <w:r w:rsidR="0098776C">
        <w:rPr>
          <w:rFonts w:ascii="Palatino" w:hAnsi="Palatino" w:cs="Times New Roman"/>
          <w:iCs/>
        </w:rPr>
        <w:t>; Skolnik</w:t>
      </w:r>
      <w:r w:rsidRPr="0019387B">
        <w:rPr>
          <w:rFonts w:ascii="Palatino" w:hAnsi="Palatino" w:cs="Times New Roman"/>
          <w:iCs/>
        </w:rPr>
        <w:t xml:space="preserve"> 2010); barriers to transfer and mobility prevent the social and economic advancement of those at the lowest levels of the economic system.</w:t>
      </w:r>
    </w:p>
    <w:p w:rsidR="00D928B1" w:rsidRPr="0019387B" w:rsidRDefault="00D928B1" w:rsidP="00D928B1">
      <w:pPr>
        <w:spacing w:line="360" w:lineRule="auto"/>
        <w:ind w:firstLine="720"/>
        <w:jc w:val="both"/>
        <w:rPr>
          <w:rFonts w:ascii="Palatino" w:hAnsi="Palatino" w:cs="Times New Roman"/>
          <w:iCs/>
        </w:rPr>
      </w:pPr>
    </w:p>
    <w:p w:rsidR="00125917" w:rsidRDefault="00D928B1" w:rsidP="00D928B1">
      <w:pPr>
        <w:spacing w:line="360" w:lineRule="auto"/>
        <w:jc w:val="both"/>
        <w:rPr>
          <w:rFonts w:ascii="Palatino" w:hAnsi="Palatino" w:cs="Times New Roman"/>
          <w:b/>
          <w:iCs/>
        </w:rPr>
      </w:pPr>
      <w:r w:rsidRPr="0019387B">
        <w:rPr>
          <w:rFonts w:ascii="Palatino" w:hAnsi="Palatino" w:cs="Times New Roman"/>
          <w:b/>
          <w:iCs/>
        </w:rPr>
        <w:t xml:space="preserve">The </w:t>
      </w:r>
      <w:r>
        <w:rPr>
          <w:rFonts w:ascii="Palatino" w:hAnsi="Palatino" w:cs="Times New Roman"/>
          <w:b/>
          <w:iCs/>
        </w:rPr>
        <w:t>f</w:t>
      </w:r>
      <w:r w:rsidRPr="0019387B">
        <w:rPr>
          <w:rFonts w:ascii="Palatino" w:hAnsi="Palatino" w:cs="Times New Roman"/>
          <w:b/>
          <w:iCs/>
        </w:rPr>
        <w:t xml:space="preserve">ragmentation of </w:t>
      </w:r>
      <w:r>
        <w:rPr>
          <w:rFonts w:ascii="Palatino" w:hAnsi="Palatino" w:cs="Times New Roman"/>
          <w:b/>
          <w:iCs/>
        </w:rPr>
        <w:t>a</w:t>
      </w:r>
      <w:r w:rsidRPr="0019387B">
        <w:rPr>
          <w:rFonts w:ascii="Palatino" w:hAnsi="Palatino" w:cs="Times New Roman"/>
          <w:b/>
          <w:iCs/>
        </w:rPr>
        <w:t xml:space="preserve">cademic </w:t>
      </w:r>
      <w:r>
        <w:rPr>
          <w:rFonts w:ascii="Palatino" w:hAnsi="Palatino" w:cs="Times New Roman"/>
          <w:b/>
          <w:iCs/>
        </w:rPr>
        <w:t>w</w:t>
      </w:r>
      <w:r w:rsidRPr="0019387B">
        <w:rPr>
          <w:rFonts w:ascii="Palatino" w:hAnsi="Palatino" w:cs="Times New Roman"/>
          <w:b/>
          <w:iCs/>
        </w:rPr>
        <w:t>ork</w:t>
      </w:r>
    </w:p>
    <w:p w:rsidR="00125917" w:rsidRDefault="00125917" w:rsidP="00D928B1">
      <w:pPr>
        <w:spacing w:line="360" w:lineRule="auto"/>
        <w:jc w:val="both"/>
        <w:rPr>
          <w:rFonts w:ascii="Palatino" w:hAnsi="Palatino" w:cs="Times New Roman"/>
          <w:b/>
          <w:iCs/>
        </w:rPr>
      </w:pPr>
    </w:p>
    <w:p w:rsidR="00125917" w:rsidRPr="00125917" w:rsidRDefault="00125917" w:rsidP="00D928B1">
      <w:pPr>
        <w:spacing w:line="360" w:lineRule="auto"/>
        <w:jc w:val="both"/>
        <w:rPr>
          <w:rFonts w:ascii="Palatino" w:hAnsi="Palatino" w:cs="Times New Roman"/>
          <w:iCs/>
        </w:rPr>
      </w:pPr>
      <w:r>
        <w:rPr>
          <w:rFonts w:ascii="Palatino" w:hAnsi="Palatino" w:cs="Times New Roman"/>
          <w:iCs/>
        </w:rPr>
        <w:t>While access is a policy issue illustrating the importance of maintaining a data infrastructure focusing on student participation and mobility, policy issues associated with the fragmentation of academic work require a d</w:t>
      </w:r>
      <w:r w:rsidR="002B63DF">
        <w:rPr>
          <w:rFonts w:ascii="Palatino" w:hAnsi="Palatino" w:cs="Times New Roman"/>
          <w:iCs/>
        </w:rPr>
        <w:t xml:space="preserve">ata infrastructure focusing on academic </w:t>
      </w:r>
      <w:proofErr w:type="spellStart"/>
      <w:r w:rsidR="002B63DF">
        <w:rPr>
          <w:rFonts w:ascii="Palatino" w:hAnsi="Palatino" w:cs="Times New Roman"/>
          <w:iCs/>
        </w:rPr>
        <w:t>labour</w:t>
      </w:r>
      <w:proofErr w:type="spellEnd"/>
      <w:r w:rsidR="002B63DF">
        <w:rPr>
          <w:rFonts w:ascii="Palatino" w:hAnsi="Palatino" w:cs="Times New Roman"/>
          <w:iCs/>
        </w:rPr>
        <w:t>.</w:t>
      </w:r>
    </w:p>
    <w:p w:rsidR="00125917" w:rsidRPr="00125917" w:rsidRDefault="00125917"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There is now a large body of international/comparative scholarship on the academic profession, and a growing consensus that the profession is changing as a function of broader higher education reforms including expansion, funding, increasing managerialism, and changes in institutional and system-level </w:t>
      </w:r>
      <w:r w:rsidR="0098776C">
        <w:rPr>
          <w:rFonts w:ascii="Palatino" w:hAnsi="Palatino" w:cs="Times New Roman"/>
          <w:iCs/>
        </w:rPr>
        <w:lastRenderedPageBreak/>
        <w:t xml:space="preserve">governance (see </w:t>
      </w:r>
      <w:proofErr w:type="spellStart"/>
      <w:r w:rsidR="0098776C">
        <w:rPr>
          <w:rFonts w:ascii="Palatino" w:hAnsi="Palatino" w:cs="Times New Roman"/>
          <w:iCs/>
        </w:rPr>
        <w:t>Altbach</w:t>
      </w:r>
      <w:proofErr w:type="spellEnd"/>
      <w:r w:rsidRPr="0019387B">
        <w:rPr>
          <w:rFonts w:ascii="Palatino" w:hAnsi="Palatino" w:cs="Times New Roman"/>
          <w:iCs/>
        </w:rPr>
        <w:t xml:space="preserve"> 2000;</w:t>
      </w:r>
      <w:r w:rsidRPr="0019387B">
        <w:rPr>
          <w:rFonts w:ascii="Palatino" w:hAnsi="Palatino" w:cs="Times New Roman"/>
        </w:rPr>
        <w:t xml:space="preserve"> </w:t>
      </w:r>
      <w:r w:rsidR="0098776C">
        <w:rPr>
          <w:rFonts w:ascii="Palatino" w:hAnsi="Palatino" w:cs="Times New Roman"/>
          <w:iCs/>
        </w:rPr>
        <w:t xml:space="preserve">Cavalli and </w:t>
      </w:r>
      <w:proofErr w:type="spellStart"/>
      <w:r w:rsidR="0098776C">
        <w:rPr>
          <w:rFonts w:ascii="Palatino" w:hAnsi="Palatino" w:cs="Times New Roman"/>
          <w:iCs/>
        </w:rPr>
        <w:t>Moscati</w:t>
      </w:r>
      <w:proofErr w:type="spellEnd"/>
      <w:r w:rsidR="0098776C">
        <w:rPr>
          <w:rFonts w:ascii="Palatino" w:hAnsi="Palatino" w:cs="Times New Roman"/>
          <w:iCs/>
        </w:rPr>
        <w:t xml:space="preserve"> 2010; Enders and </w:t>
      </w:r>
      <w:proofErr w:type="spellStart"/>
      <w:r w:rsidR="0098776C">
        <w:rPr>
          <w:rFonts w:ascii="Palatino" w:hAnsi="Palatino" w:cs="Times New Roman"/>
          <w:iCs/>
        </w:rPr>
        <w:t>Musselin</w:t>
      </w:r>
      <w:proofErr w:type="spellEnd"/>
      <w:r w:rsidRPr="0019387B">
        <w:rPr>
          <w:rFonts w:ascii="Palatino" w:hAnsi="Palatino" w:cs="Times New Roman"/>
          <w:iCs/>
        </w:rPr>
        <w:t xml:space="preserve"> 2008;</w:t>
      </w:r>
      <w:r w:rsidRPr="0019387B">
        <w:rPr>
          <w:rFonts w:ascii="Palatino" w:eastAsia="Calibri" w:hAnsi="Palatino" w:cs="Times New Roman"/>
        </w:rPr>
        <w:t xml:space="preserve"> </w:t>
      </w:r>
      <w:r w:rsidR="0098776C">
        <w:rPr>
          <w:rFonts w:ascii="Palatino" w:hAnsi="Palatino" w:cs="Times New Roman"/>
          <w:iCs/>
        </w:rPr>
        <w:t>Finkelstein</w:t>
      </w:r>
      <w:r w:rsidRPr="0019387B">
        <w:rPr>
          <w:rFonts w:ascii="Palatino" w:hAnsi="Palatino" w:cs="Times New Roman"/>
          <w:iCs/>
        </w:rPr>
        <w:t xml:space="preserve"> 2003, 2010). Comparative studies have illuminated important differences hiring and </w:t>
      </w:r>
      <w:r w:rsidR="0098776C">
        <w:rPr>
          <w:rFonts w:ascii="Palatino" w:hAnsi="Palatino" w:cs="Times New Roman"/>
          <w:iCs/>
        </w:rPr>
        <w:t>appointment practices (</w:t>
      </w:r>
      <w:proofErr w:type="spellStart"/>
      <w:r w:rsidR="0098776C">
        <w:rPr>
          <w:rFonts w:ascii="Palatino" w:hAnsi="Palatino" w:cs="Times New Roman"/>
          <w:iCs/>
        </w:rPr>
        <w:t>Musselin</w:t>
      </w:r>
      <w:proofErr w:type="spellEnd"/>
      <w:r w:rsidRPr="0019387B">
        <w:rPr>
          <w:rFonts w:ascii="Palatino" w:hAnsi="Palatino" w:cs="Times New Roman"/>
          <w:iCs/>
        </w:rPr>
        <w:t xml:space="preserve"> 2010), in how academic work is constructed in terms of the balance between research and teaching functions, and in the perceptions of faculty on such issues as governance, work satisfaction, teaching and scholarship (Bentle</w:t>
      </w:r>
      <w:r w:rsidR="0098776C">
        <w:rPr>
          <w:rFonts w:ascii="Palatino" w:hAnsi="Palatino" w:cs="Times New Roman"/>
          <w:iCs/>
        </w:rPr>
        <w:t>y et al.</w:t>
      </w:r>
      <w:r w:rsidRPr="0019387B">
        <w:rPr>
          <w:rFonts w:ascii="Palatino" w:hAnsi="Palatino" w:cs="Times New Roman"/>
          <w:iCs/>
        </w:rPr>
        <w:t xml:space="preserve"> 2013; </w:t>
      </w:r>
      <w:r w:rsidR="0098776C">
        <w:rPr>
          <w:rFonts w:ascii="Palatino" w:hAnsi="Palatino" w:cs="Times New Roman"/>
          <w:iCs/>
          <w:lang w:val="en-GB"/>
        </w:rPr>
        <w:t>Locke, Cummings and Fisher</w:t>
      </w:r>
      <w:r w:rsidRPr="0019387B">
        <w:rPr>
          <w:rFonts w:ascii="Palatino" w:hAnsi="Palatino" w:cs="Times New Roman"/>
          <w:iCs/>
          <w:lang w:val="en-GB"/>
        </w:rPr>
        <w:t xml:space="preserve"> 2011; </w:t>
      </w:r>
      <w:r w:rsidR="00AB6FB7">
        <w:rPr>
          <w:rFonts w:ascii="Palatino" w:hAnsi="Palatino" w:cs="Times New Roman"/>
          <w:iCs/>
        </w:rPr>
        <w:t xml:space="preserve">Shin, </w:t>
      </w:r>
      <w:proofErr w:type="spellStart"/>
      <w:r w:rsidR="00AB6FB7">
        <w:rPr>
          <w:rFonts w:ascii="Palatino" w:hAnsi="Palatino" w:cs="Times New Roman"/>
          <w:iCs/>
        </w:rPr>
        <w:t>Arimoto</w:t>
      </w:r>
      <w:proofErr w:type="spellEnd"/>
      <w:r w:rsidR="00AB6FB7">
        <w:rPr>
          <w:rFonts w:ascii="Palatino" w:hAnsi="Palatino" w:cs="Times New Roman"/>
          <w:iCs/>
        </w:rPr>
        <w:t xml:space="preserve">, Cummings and </w:t>
      </w:r>
      <w:proofErr w:type="spellStart"/>
      <w:r w:rsidR="00AB6FB7">
        <w:rPr>
          <w:rFonts w:ascii="Palatino" w:hAnsi="Palatino" w:cs="Times New Roman"/>
          <w:iCs/>
        </w:rPr>
        <w:t>Teichler</w:t>
      </w:r>
      <w:proofErr w:type="spellEnd"/>
      <w:r w:rsidRPr="0019387B">
        <w:rPr>
          <w:rFonts w:ascii="Palatino" w:hAnsi="Palatino" w:cs="Times New Roman"/>
          <w:iCs/>
        </w:rPr>
        <w:t xml:space="preserve"> 2014).</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Studies of academic work in Canada suggest that Canadian universities have maintained a strong full-time tenure-stream professoriate, in contrast to universities in some other jurisdictions. The number of full-time faculty with permanent appointments working in Canadian universities has grown since 2000, though not as rapidly as the number of students. Canadian faculty have relatively high levels of job satisfaction, are well remunerated, and are quite productive. However, it is generally assumed that while Canadian universities have protected the full-time professoriate, they have increasingly turned to the employment of part-time university teachers </w:t>
      </w:r>
      <w:r w:rsidR="00BB5447">
        <w:rPr>
          <w:rFonts w:ascii="Palatino" w:hAnsi="Palatino" w:cs="Times New Roman"/>
          <w:iCs/>
        </w:rPr>
        <w:t xml:space="preserve">and other categories of academic workers </w:t>
      </w:r>
      <w:r w:rsidRPr="0019387B">
        <w:rPr>
          <w:rFonts w:ascii="Palatino" w:hAnsi="Palatino" w:cs="Times New Roman"/>
          <w:iCs/>
        </w:rPr>
        <w:t>in order to increase in</w:t>
      </w:r>
      <w:r w:rsidR="00AB6FB7">
        <w:rPr>
          <w:rFonts w:ascii="Palatino" w:hAnsi="Palatino" w:cs="Times New Roman"/>
          <w:iCs/>
        </w:rPr>
        <w:t>stitutional efficiencies (Jones</w:t>
      </w:r>
      <w:r w:rsidRPr="0019387B">
        <w:rPr>
          <w:rFonts w:ascii="Palatino" w:hAnsi="Palatino" w:cs="Times New Roman"/>
          <w:iCs/>
        </w:rPr>
        <w:t xml:space="preserve"> 2013).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Academic work in Canada has become increasingly fragmented along both horizontal and vertical dimensions</w:t>
      </w:r>
      <w:r w:rsidR="00BB5447">
        <w:rPr>
          <w:rFonts w:ascii="Palatino" w:hAnsi="Palatino" w:cs="Times New Roman"/>
          <w:iCs/>
        </w:rPr>
        <w:t xml:space="preserve"> (Jones 2013)</w:t>
      </w:r>
      <w:r w:rsidRPr="0019387B">
        <w:rPr>
          <w:rFonts w:ascii="Palatino" w:hAnsi="Palatino" w:cs="Times New Roman"/>
          <w:iCs/>
        </w:rPr>
        <w:t>. The horizontal dimension refers to the natural fragmentation associated with the growth of knowledge and the related specialization of the professoriate. This is the fragmentation associated with disciplinary differences, and the increasing growth of sub-specializations, that can be found within the academic units of the university. A second form of horizontal fragmentation is associated with the growth of professional staff engaged in forms of academic work outside of the traditional academic units. Student affairs professionals, for example, play an important role in supporting student success through co-curricular educational activities and through counseling and guidance programs. Educational developers orient and mentor new faculty in teaching and learning and play a range of roles in support of the improvement of</w:t>
      </w:r>
      <w:r w:rsidR="00BB5447">
        <w:rPr>
          <w:rFonts w:ascii="Palatino" w:hAnsi="Palatino" w:cs="Times New Roman"/>
          <w:iCs/>
        </w:rPr>
        <w:t xml:space="preserve"> teaching within the university</w:t>
      </w:r>
      <w:r w:rsidR="002B63DF">
        <w:rPr>
          <w:rFonts w:ascii="Palatino" w:hAnsi="Palatino" w:cs="Times New Roman"/>
          <w:iCs/>
        </w:rPr>
        <w:t xml:space="preserve"> </w:t>
      </w:r>
      <w:r w:rsidRPr="0019387B">
        <w:rPr>
          <w:rFonts w:ascii="Palatino" w:hAnsi="Palatino" w:cs="Times New Roman"/>
          <w:iCs/>
        </w:rPr>
        <w:t>(for example, see</w:t>
      </w:r>
      <w:r w:rsidRPr="0019387B">
        <w:rPr>
          <w:rFonts w:ascii="Palatino" w:eastAsia="Calibri" w:hAnsi="Palatino" w:cs="Times New Roman"/>
        </w:rPr>
        <w:t xml:space="preserve"> </w:t>
      </w:r>
      <w:r w:rsidR="00AB6FB7">
        <w:rPr>
          <w:rFonts w:ascii="Palatino" w:hAnsi="Palatino" w:cs="Times New Roman"/>
          <w:iCs/>
        </w:rPr>
        <w:t>Hughes and Mighty</w:t>
      </w:r>
      <w:r w:rsidRPr="0019387B">
        <w:rPr>
          <w:rFonts w:ascii="Palatino" w:hAnsi="Palatino" w:cs="Times New Roman"/>
          <w:iCs/>
        </w:rPr>
        <w:t xml:space="preserve"> 2010). These are professionals who are clearly engaged in forms of </w:t>
      </w:r>
      <w:r w:rsidRPr="0019387B">
        <w:rPr>
          <w:rFonts w:ascii="Palatino" w:hAnsi="Palatino" w:cs="Times New Roman"/>
          <w:iCs/>
        </w:rPr>
        <w:lastRenderedPageBreak/>
        <w:t xml:space="preserve">academic work but who are usually located in horizontally positioned units outside of the traditional academic departments.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The vertical dimension refers to the emergence of new categories of academic workers within academic departments. While the traditional full-time professoriate in Canadian universities have responsibilities for both teaching and research, these new categories tend to focus on a specific function, usually teaching, and have very different salaries and conditions of employment than traditional tenure</w:t>
      </w:r>
      <w:r w:rsidR="00AB6FB7">
        <w:rPr>
          <w:rFonts w:ascii="Palatino" w:hAnsi="Palatino" w:cs="Times New Roman"/>
          <w:iCs/>
        </w:rPr>
        <w:t>-stream appointments (Rajagopal</w:t>
      </w:r>
      <w:r w:rsidRPr="0019387B">
        <w:rPr>
          <w:rFonts w:ascii="Palatino" w:hAnsi="Palatino" w:cs="Times New Roman"/>
          <w:iCs/>
        </w:rPr>
        <w:t xml:space="preserve"> 2001). Given the very different terms and conditions of employment, these other categories of worker are generally regarded as lower status than the traditional professoriate – in fact there may be a hierarchy of appointment categories with differences in salary and job security. Despite these differences, they may all engage in roughly the same types of work. An undergraduate course may be taught by a full professor, but the same course may also be taught be an individual who has a full-time one-year contract, or by an individual who is employed for a single academic term only to teach that course.</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 xml:space="preserve">There is a growing body of work that has helped us understand some of these broad changes in the nature of academic work in different jurisdictions. While far from universal, the increasing use of “other” categories of academic worker (contingent faculty, teaching-only faculty in systems where traditional faculty engaged in both teaching and research) appears to be emerging in quite a number of higher education systems as a response to broader higher education reforms, and to the new fiscal realities facing institutions of higher education. </w:t>
      </w:r>
    </w:p>
    <w:p w:rsidR="00D928B1" w:rsidRDefault="00D928B1" w:rsidP="00D928B1">
      <w:pPr>
        <w:spacing w:line="360" w:lineRule="auto"/>
        <w:jc w:val="both"/>
        <w:rPr>
          <w:rFonts w:ascii="Palatino" w:hAnsi="Palatino" w:cs="Times New Roman"/>
          <w:iCs/>
        </w:rPr>
      </w:pPr>
    </w:p>
    <w:p w:rsidR="00D928B1" w:rsidRPr="0019387B" w:rsidRDefault="00D928B1" w:rsidP="00D928B1">
      <w:pPr>
        <w:spacing w:line="360" w:lineRule="auto"/>
        <w:jc w:val="both"/>
        <w:rPr>
          <w:rFonts w:ascii="Palatino" w:hAnsi="Palatino" w:cs="Times New Roman"/>
          <w:iCs/>
        </w:rPr>
      </w:pPr>
      <w:r w:rsidRPr="0019387B">
        <w:rPr>
          <w:rFonts w:ascii="Palatino" w:hAnsi="Palatino" w:cs="Times New Roman"/>
          <w:iCs/>
        </w:rPr>
        <w:t>While research tells us something about these changes, we know far less about the implications of these changes</w:t>
      </w:r>
      <w:r w:rsidRPr="0019387B">
        <w:rPr>
          <w:rFonts w:ascii="Palatino" w:hAnsi="Palatino" w:cs="Times New Roman"/>
          <w:b/>
          <w:iCs/>
        </w:rPr>
        <w:t xml:space="preserve"> </w:t>
      </w:r>
      <w:r w:rsidRPr="0019387B">
        <w:rPr>
          <w:rFonts w:ascii="Palatino" w:hAnsi="Palatino" w:cs="Times New Roman"/>
          <w:iCs/>
        </w:rPr>
        <w:t>for</w:t>
      </w:r>
      <w:r w:rsidRPr="0019387B">
        <w:rPr>
          <w:rFonts w:ascii="Palatino" w:hAnsi="Palatino" w:cs="Times New Roman"/>
          <w:b/>
          <w:iCs/>
        </w:rPr>
        <w:t xml:space="preserve"> </w:t>
      </w:r>
      <w:r w:rsidRPr="0019387B">
        <w:rPr>
          <w:rFonts w:ascii="Palatino" w:hAnsi="Palatino" w:cs="Times New Roman"/>
          <w:iCs/>
        </w:rPr>
        <w:t xml:space="preserve">student learning, institutional governance, leadership, and the academic </w:t>
      </w:r>
      <w:proofErr w:type="spellStart"/>
      <w:r w:rsidRPr="0019387B">
        <w:rPr>
          <w:rFonts w:ascii="Palatino" w:hAnsi="Palatino" w:cs="Times New Roman"/>
          <w:iCs/>
        </w:rPr>
        <w:t>labour</w:t>
      </w:r>
      <w:proofErr w:type="spellEnd"/>
      <w:r w:rsidRPr="0019387B">
        <w:rPr>
          <w:rFonts w:ascii="Palatino" w:hAnsi="Palatino" w:cs="Times New Roman"/>
          <w:iCs/>
        </w:rPr>
        <w:t xml:space="preserve"> market. What has been </w:t>
      </w:r>
      <w:r w:rsidR="00BB5447">
        <w:rPr>
          <w:rFonts w:ascii="Palatino" w:hAnsi="Palatino" w:cs="Times New Roman"/>
          <w:iCs/>
        </w:rPr>
        <w:t>the impact of the emergence</w:t>
      </w:r>
      <w:r w:rsidRPr="0019387B">
        <w:rPr>
          <w:rFonts w:ascii="Palatino" w:hAnsi="Palatino" w:cs="Times New Roman"/>
          <w:iCs/>
        </w:rPr>
        <w:t xml:space="preserve"> of new categories of workers (such as contingent faculty) on the quality of educational programs and student learning outcomes? How do academic leaders make decisions on the allocation of work to different categories of university teachers, and what are the implications of these decisions? What are </w:t>
      </w:r>
      <w:r w:rsidRPr="0019387B">
        <w:rPr>
          <w:rFonts w:ascii="Palatino" w:hAnsi="Palatino" w:cs="Times New Roman"/>
          <w:iCs/>
        </w:rPr>
        <w:lastRenderedPageBreak/>
        <w:t xml:space="preserve">the implications of the increasing vertical and horizontal differentiation of academic work for university governance, especially the implications of hierarchical worker categories within academic governance structures built on assumptions of collegiality? What are the implications for academic leadership of a more complicated, multifaceted workplace with different categories of workers, different conditions of employment, and more hierarchical relationships? </w:t>
      </w:r>
    </w:p>
    <w:p w:rsidR="00D928B1" w:rsidRDefault="00D928B1" w:rsidP="00D928B1">
      <w:pPr>
        <w:spacing w:line="360" w:lineRule="auto"/>
        <w:jc w:val="both"/>
        <w:rPr>
          <w:rFonts w:ascii="Palatino" w:hAnsi="Palatino" w:cs="Times New Roman"/>
          <w:iCs/>
        </w:rPr>
      </w:pPr>
    </w:p>
    <w:p w:rsidR="00D928B1" w:rsidRDefault="00D928B1" w:rsidP="00D928B1">
      <w:pPr>
        <w:spacing w:line="360" w:lineRule="auto"/>
        <w:jc w:val="both"/>
        <w:rPr>
          <w:rFonts w:ascii="Palatino" w:hAnsi="Palatino" w:cs="Times New Roman"/>
          <w:iCs/>
        </w:rPr>
      </w:pPr>
      <w:r w:rsidRPr="0019387B">
        <w:rPr>
          <w:rFonts w:ascii="Palatino" w:hAnsi="Palatino" w:cs="Times New Roman"/>
          <w:iCs/>
        </w:rPr>
        <w:t>It is essential to more fully understand the implications of changes in the structure of academic work and the emergence of new categories of academic worker for the overall operation of the university. What do these changes mean for students, in terms of their educational experiences and success? What do they mean for the work of university governance and academic leadership?</w:t>
      </w:r>
    </w:p>
    <w:p w:rsidR="000006B2" w:rsidRDefault="000006B2" w:rsidP="00D928B1">
      <w:pPr>
        <w:spacing w:line="360" w:lineRule="auto"/>
        <w:jc w:val="both"/>
        <w:rPr>
          <w:rFonts w:ascii="Palatino" w:hAnsi="Palatino" w:cs="Times New Roman"/>
          <w:iCs/>
        </w:rPr>
      </w:pPr>
    </w:p>
    <w:p w:rsidR="000006B2" w:rsidRDefault="000006B2" w:rsidP="00D928B1">
      <w:pPr>
        <w:spacing w:line="360" w:lineRule="auto"/>
        <w:jc w:val="both"/>
        <w:rPr>
          <w:rFonts w:ascii="Palatino" w:hAnsi="Palatino" w:cs="Times New Roman"/>
          <w:b/>
          <w:iCs/>
        </w:rPr>
      </w:pPr>
      <w:r w:rsidRPr="000006B2">
        <w:rPr>
          <w:rFonts w:ascii="Palatino" w:hAnsi="Palatino" w:cs="Times New Roman"/>
          <w:b/>
          <w:iCs/>
        </w:rPr>
        <w:t>Conclusions:</w:t>
      </w:r>
    </w:p>
    <w:p w:rsidR="002B63DF" w:rsidRDefault="002B63DF" w:rsidP="00D928B1">
      <w:pPr>
        <w:spacing w:line="360" w:lineRule="auto"/>
        <w:jc w:val="both"/>
        <w:rPr>
          <w:rFonts w:ascii="Palatino" w:hAnsi="Palatino" w:cs="Times New Roman"/>
          <w:b/>
          <w:iCs/>
        </w:rPr>
      </w:pPr>
    </w:p>
    <w:p w:rsidR="00781883" w:rsidRPr="0019387B" w:rsidRDefault="00544089" w:rsidP="00544089">
      <w:pPr>
        <w:spacing w:line="360" w:lineRule="auto"/>
        <w:jc w:val="both"/>
        <w:rPr>
          <w:rFonts w:ascii="Palatino" w:hAnsi="Palatino" w:cs="Times New Roman"/>
        </w:rPr>
      </w:pPr>
      <w:r>
        <w:rPr>
          <w:rFonts w:ascii="Palatino" w:hAnsi="Palatino" w:cs="Times New Roman"/>
          <w:b/>
          <w:iCs/>
        </w:rPr>
        <w:tab/>
      </w:r>
      <w:r w:rsidRPr="00544089">
        <w:rPr>
          <w:rFonts w:ascii="Palatino" w:hAnsi="Palatino" w:cs="Times New Roman"/>
          <w:iCs/>
        </w:rPr>
        <w:t xml:space="preserve">Given the tremendous importance </w:t>
      </w:r>
      <w:r>
        <w:rPr>
          <w:rFonts w:ascii="Palatino" w:hAnsi="Palatino" w:cs="Times New Roman"/>
          <w:iCs/>
        </w:rPr>
        <w:t xml:space="preserve">of higher, countries need to have a strong data and policy research infrastructure to support the policy development and implementation process </w:t>
      </w:r>
      <w:r w:rsidR="00781883">
        <w:rPr>
          <w:rFonts w:ascii="Palatino" w:hAnsi="Palatino" w:cs="Times New Roman"/>
          <w:iCs/>
        </w:rPr>
        <w:t>as well as</w:t>
      </w:r>
      <w:r w:rsidRPr="0019387B">
        <w:rPr>
          <w:rFonts w:ascii="Palatino" w:hAnsi="Palatino" w:cs="Times New Roman"/>
        </w:rPr>
        <w:t xml:space="preserve"> i</w:t>
      </w:r>
      <w:r>
        <w:rPr>
          <w:rFonts w:ascii="Palatino" w:hAnsi="Palatino" w:cs="Times New Roman"/>
        </w:rPr>
        <w:t>nformed public debate on</w:t>
      </w:r>
      <w:r w:rsidRPr="0019387B">
        <w:rPr>
          <w:rFonts w:ascii="Palatino" w:hAnsi="Palatino" w:cs="Times New Roman"/>
        </w:rPr>
        <w:t xml:space="preserve"> the role of higher education in contemporary society and other higher education issues.</w:t>
      </w:r>
      <w:r>
        <w:rPr>
          <w:rFonts w:ascii="Palatino" w:hAnsi="Palatino" w:cs="Times New Roman"/>
        </w:rPr>
        <w:t xml:space="preserve"> This infrastructure can be broadly defined to include the collection and analysis of system data on, for example, students and university teachers, the research and policy analysis capacity within government</w:t>
      </w:r>
      <w:r w:rsidR="00781883">
        <w:rPr>
          <w:rFonts w:ascii="Palatino" w:hAnsi="Palatino" w:cs="Times New Roman"/>
        </w:rPr>
        <w:t>, and the research capacity and expertise of those outside government, including research centers in higher education, who can play an important role in critical policy analysis and stimulating public discussion of key issues.</w:t>
      </w:r>
    </w:p>
    <w:p w:rsidR="00B307EE" w:rsidRPr="0019387B" w:rsidRDefault="00781883" w:rsidP="00B307EE">
      <w:pPr>
        <w:spacing w:line="360" w:lineRule="auto"/>
        <w:jc w:val="both"/>
        <w:rPr>
          <w:rFonts w:ascii="Palatino" w:hAnsi="Palatino" w:cs="Times New Roman"/>
          <w:iCs/>
        </w:rPr>
      </w:pPr>
      <w:r>
        <w:rPr>
          <w:rFonts w:ascii="Palatino" w:hAnsi="Palatino" w:cs="Times New Roman"/>
          <w:iCs/>
        </w:rPr>
        <w:tab/>
        <w:t>Research can help us understand how to strengthen th</w:t>
      </w:r>
      <w:r w:rsidR="00FF328B">
        <w:rPr>
          <w:rFonts w:ascii="Palatino" w:hAnsi="Palatino" w:cs="Times New Roman"/>
          <w:iCs/>
        </w:rPr>
        <w:t>ese</w:t>
      </w:r>
      <w:r>
        <w:rPr>
          <w:rFonts w:ascii="Palatino" w:hAnsi="Palatino" w:cs="Times New Roman"/>
          <w:iCs/>
        </w:rPr>
        <w:t xml:space="preserve"> national data an</w:t>
      </w:r>
      <w:r w:rsidR="00FF328B">
        <w:rPr>
          <w:rFonts w:ascii="Palatino" w:hAnsi="Palatino" w:cs="Times New Roman"/>
          <w:iCs/>
        </w:rPr>
        <w:t>d policy research structures and arrangements</w:t>
      </w:r>
      <w:r>
        <w:rPr>
          <w:rFonts w:ascii="Palatino" w:hAnsi="Palatino" w:cs="Times New Roman"/>
          <w:iCs/>
        </w:rPr>
        <w:t xml:space="preserve">. </w:t>
      </w:r>
      <w:r w:rsidR="00B307EE" w:rsidRPr="0019387B">
        <w:rPr>
          <w:rFonts w:ascii="Palatino" w:hAnsi="Palatino" w:cs="Times New Roman"/>
          <w:iCs/>
        </w:rPr>
        <w:t xml:space="preserve">Research can play a major role in helping us understand the complex interactions and relationships embedded within national policy infrastructures for higher education. An international comparative study of the policy research infrastructure in different countries could illuminate major differences in policy research capacity inside and outside government among systems. Best practices could be identified. Innovative approaches to the creation of policy research networks between governments, </w:t>
      </w:r>
      <w:r w:rsidR="00B307EE" w:rsidRPr="0019387B">
        <w:rPr>
          <w:rFonts w:ascii="Palatino" w:hAnsi="Palatino" w:cs="Times New Roman"/>
          <w:iCs/>
        </w:rPr>
        <w:lastRenderedPageBreak/>
        <w:t>institutions, research cent</w:t>
      </w:r>
      <w:r w:rsidR="00FF328B">
        <w:rPr>
          <w:rFonts w:ascii="Palatino" w:hAnsi="Palatino" w:cs="Times New Roman"/>
          <w:iCs/>
        </w:rPr>
        <w:t>er</w:t>
      </w:r>
      <w:r w:rsidR="00B307EE" w:rsidRPr="0019387B">
        <w:rPr>
          <w:rFonts w:ascii="Palatino" w:hAnsi="Palatino" w:cs="Times New Roman"/>
          <w:iCs/>
        </w:rPr>
        <w:t>s, and other producers and consumers of knowledge about higher education policy could be identified. Are there models or practices that can increase government’s absorptive capacity in terms of higher education policy research and analysis? Knowledge dissemination in the context of new information technologies plays a major role in this discussion; how can networks and communications systems/media be developed to link the needs of policy makers for timely access to specialized research and expertise with existing, relevant research and resources? How can those who are conducting critical policy research outside government mobilize this knowledge so that it is in the hands of those who may be in the best position to use it?</w:t>
      </w:r>
    </w:p>
    <w:p w:rsidR="00B307EE" w:rsidRDefault="00B307EE" w:rsidP="00B307EE">
      <w:pPr>
        <w:spacing w:line="360" w:lineRule="auto"/>
        <w:jc w:val="both"/>
        <w:rPr>
          <w:rFonts w:ascii="Palatino" w:hAnsi="Palatino" w:cs="Times New Roman"/>
          <w:iCs/>
        </w:rPr>
      </w:pPr>
    </w:p>
    <w:p w:rsidR="00B307EE" w:rsidRPr="0019387B" w:rsidRDefault="00B307EE" w:rsidP="00B307EE">
      <w:pPr>
        <w:spacing w:line="360" w:lineRule="auto"/>
        <w:jc w:val="both"/>
        <w:rPr>
          <w:rFonts w:ascii="Palatino" w:hAnsi="Palatino" w:cs="Times New Roman"/>
          <w:iCs/>
        </w:rPr>
      </w:pPr>
      <w:r w:rsidRPr="0019387B">
        <w:rPr>
          <w:rFonts w:ascii="Palatino" w:hAnsi="Palatino" w:cs="Times New Roman"/>
          <w:iCs/>
        </w:rPr>
        <w:t xml:space="preserve">Given the increasing importance of higher education to social and economic development, the increasing complexity of higher education systems and policy issues, and increasing public investments in higher education, ensuring that governments have the policy research infrastructure needed to make informed decisions is a fundamental issue that is at the very heart of the policy-research nexus in higher education. </w:t>
      </w:r>
    </w:p>
    <w:p w:rsidR="00D928B1" w:rsidRPr="0019387B" w:rsidRDefault="00D928B1" w:rsidP="00D928B1">
      <w:pPr>
        <w:spacing w:line="360" w:lineRule="auto"/>
        <w:jc w:val="both"/>
        <w:rPr>
          <w:rFonts w:ascii="Palatino" w:hAnsi="Palatino" w:cs="Times New Roman"/>
        </w:rPr>
      </w:pPr>
    </w:p>
    <w:p w:rsidR="00D928B1" w:rsidRDefault="00D928B1" w:rsidP="00D928B1">
      <w:pPr>
        <w:rPr>
          <w:rFonts w:ascii="Times New Roman" w:hAnsi="Times New Roman" w:cs="Times New Roman"/>
        </w:rPr>
      </w:pPr>
    </w:p>
    <w:p w:rsidR="00D928B1" w:rsidRDefault="00D928B1" w:rsidP="00D928B1">
      <w:pPr>
        <w:tabs>
          <w:tab w:val="left" w:pos="360"/>
        </w:tabs>
        <w:ind w:left="720" w:hanging="720"/>
        <w:rPr>
          <w:rFonts w:ascii="Palatino" w:hAnsi="Palatino" w:cs="Times New Roman"/>
          <w:b/>
        </w:rPr>
      </w:pPr>
      <w:r>
        <w:rPr>
          <w:rFonts w:ascii="Palatino" w:hAnsi="Palatino" w:cs="Times New Roman"/>
          <w:b/>
        </w:rPr>
        <w:t>References</w:t>
      </w:r>
    </w:p>
    <w:p w:rsidR="00D928B1" w:rsidRPr="0019387B" w:rsidRDefault="00D928B1" w:rsidP="00D928B1">
      <w:pPr>
        <w:tabs>
          <w:tab w:val="left" w:pos="360"/>
        </w:tabs>
        <w:ind w:left="720" w:hanging="720"/>
        <w:rPr>
          <w:rFonts w:ascii="Palatino" w:hAnsi="Palatino" w:cs="Times New Roman"/>
          <w:b/>
        </w:rPr>
      </w:pPr>
    </w:p>
    <w:p w:rsidR="00D928B1" w:rsidRDefault="001D2148" w:rsidP="00D928B1">
      <w:pPr>
        <w:tabs>
          <w:tab w:val="left" w:pos="360"/>
        </w:tabs>
        <w:ind w:left="720" w:hanging="720"/>
        <w:rPr>
          <w:rFonts w:ascii="Palatino" w:hAnsi="Palatino" w:cs="Times New Roman"/>
        </w:rPr>
      </w:pPr>
      <w:proofErr w:type="spellStart"/>
      <w:r>
        <w:rPr>
          <w:rFonts w:ascii="Palatino" w:hAnsi="Palatino" w:cs="Times New Roman"/>
        </w:rPr>
        <w:t>Altbach</w:t>
      </w:r>
      <w:proofErr w:type="spellEnd"/>
      <w:r>
        <w:rPr>
          <w:rFonts w:ascii="Palatino" w:hAnsi="Palatino" w:cs="Times New Roman"/>
        </w:rPr>
        <w:t>, P. G. 2000</w:t>
      </w:r>
      <w:r w:rsidR="00D928B1" w:rsidRPr="0019387B">
        <w:rPr>
          <w:rFonts w:ascii="Palatino" w:hAnsi="Palatino" w:cs="Times New Roman"/>
        </w:rPr>
        <w:t xml:space="preserve">. </w:t>
      </w:r>
      <w:r>
        <w:rPr>
          <w:rFonts w:ascii="Palatino" w:hAnsi="Palatino" w:cs="Times New Roman"/>
        </w:rPr>
        <w:t>“</w:t>
      </w:r>
      <w:r w:rsidR="00C7679E">
        <w:rPr>
          <w:rFonts w:ascii="Palatino" w:hAnsi="Palatino" w:cs="Times New Roman"/>
        </w:rPr>
        <w:t>The Deterioration of the Academic Estate: International Patterns of Academic W</w:t>
      </w:r>
      <w:r w:rsidR="00D928B1" w:rsidRPr="0019387B">
        <w:rPr>
          <w:rFonts w:ascii="Palatino" w:hAnsi="Palatino" w:cs="Times New Roman"/>
        </w:rPr>
        <w:t>ork.</w:t>
      </w:r>
      <w:r>
        <w:rPr>
          <w:rFonts w:ascii="Palatino" w:hAnsi="Palatino" w:cs="Times New Roman"/>
        </w:rPr>
        <w:t>”</w:t>
      </w:r>
      <w:r w:rsidR="00D928B1" w:rsidRPr="0019387B">
        <w:rPr>
          <w:rFonts w:ascii="Palatino" w:hAnsi="Palatino" w:cs="Times New Roman"/>
        </w:rPr>
        <w:t xml:space="preserve"> In </w:t>
      </w:r>
      <w:r w:rsidR="00C7679E">
        <w:rPr>
          <w:rFonts w:ascii="Palatino" w:hAnsi="Palatino" w:cs="Times New Roman"/>
          <w:i/>
        </w:rPr>
        <w:t>The Changing Academic Workplace: Comparative P</w:t>
      </w:r>
      <w:r w:rsidR="00D928B1" w:rsidRPr="0019387B">
        <w:rPr>
          <w:rFonts w:ascii="Palatino" w:hAnsi="Palatino" w:cs="Times New Roman"/>
          <w:i/>
        </w:rPr>
        <w:t>erspectives</w:t>
      </w:r>
      <w:r w:rsidR="008012B3">
        <w:rPr>
          <w:rFonts w:ascii="Palatino" w:hAnsi="Palatino" w:cs="Times New Roman"/>
        </w:rPr>
        <w:t xml:space="preserve"> edited by P. G. </w:t>
      </w:r>
      <w:proofErr w:type="spellStart"/>
      <w:r w:rsidR="008012B3">
        <w:rPr>
          <w:rFonts w:ascii="Palatino" w:hAnsi="Palatino" w:cs="Times New Roman"/>
        </w:rPr>
        <w:t>Altbach</w:t>
      </w:r>
      <w:proofErr w:type="spellEnd"/>
      <w:r w:rsidR="008012B3">
        <w:rPr>
          <w:rFonts w:ascii="Palatino" w:hAnsi="Palatino" w:cs="Times New Roman"/>
        </w:rPr>
        <w:t>, 11-33.</w:t>
      </w:r>
      <w:r w:rsidR="00C7679E">
        <w:rPr>
          <w:rFonts w:ascii="Palatino" w:hAnsi="Palatino" w:cs="Times New Roman"/>
        </w:rPr>
        <w:t xml:space="preserve"> </w:t>
      </w:r>
      <w:proofErr w:type="spellStart"/>
      <w:r w:rsidR="00C7679E">
        <w:rPr>
          <w:rFonts w:ascii="Palatino" w:hAnsi="Palatino" w:cs="Times New Roman"/>
        </w:rPr>
        <w:t>Chesnut</w:t>
      </w:r>
      <w:proofErr w:type="spellEnd"/>
      <w:r w:rsidR="00C7679E">
        <w:rPr>
          <w:rFonts w:ascii="Palatino" w:hAnsi="Palatino" w:cs="Times New Roman"/>
        </w:rPr>
        <w:t xml:space="preserve"> Hill: </w:t>
      </w:r>
      <w:r w:rsidR="00D928B1" w:rsidRPr="0019387B">
        <w:rPr>
          <w:rFonts w:ascii="Palatino" w:hAnsi="Palatino" w:cs="Times New Roman"/>
        </w:rPr>
        <w:t>Boston College Center for International Higher Education.</w:t>
      </w:r>
    </w:p>
    <w:p w:rsidR="0061777F" w:rsidRPr="0019387B" w:rsidRDefault="001D2148" w:rsidP="00D928B1">
      <w:pPr>
        <w:tabs>
          <w:tab w:val="left" w:pos="360"/>
        </w:tabs>
        <w:ind w:left="720" w:hanging="720"/>
        <w:rPr>
          <w:rFonts w:ascii="Palatino" w:hAnsi="Palatino" w:cs="Times New Roman"/>
        </w:rPr>
      </w:pPr>
      <w:r>
        <w:rPr>
          <w:rFonts w:ascii="Palatino" w:hAnsi="Palatino" w:cs="Times New Roman"/>
        </w:rPr>
        <w:t>Axelrod, P. 2013</w:t>
      </w:r>
      <w:r w:rsidR="0061777F">
        <w:rPr>
          <w:rFonts w:ascii="Palatino" w:hAnsi="Palatino" w:cs="Times New Roman"/>
        </w:rPr>
        <w:t xml:space="preserve">. </w:t>
      </w:r>
      <w:r>
        <w:rPr>
          <w:rFonts w:ascii="Palatino" w:hAnsi="Palatino" w:cs="Times New Roman"/>
        </w:rPr>
        <w:t>“</w:t>
      </w:r>
      <w:r w:rsidR="0061777F">
        <w:rPr>
          <w:rFonts w:ascii="Palatino" w:hAnsi="Palatino" w:cs="Times New Roman"/>
        </w:rPr>
        <w:t>Introduction.</w:t>
      </w:r>
      <w:r>
        <w:rPr>
          <w:rFonts w:ascii="Palatino" w:hAnsi="Palatino" w:cs="Times New Roman"/>
        </w:rPr>
        <w:t>”</w:t>
      </w:r>
      <w:r w:rsidR="0061777F">
        <w:rPr>
          <w:rFonts w:ascii="Palatino" w:hAnsi="Palatino" w:cs="Times New Roman"/>
        </w:rPr>
        <w:t xml:space="preserve"> In </w:t>
      </w:r>
      <w:r w:rsidR="00283158">
        <w:rPr>
          <w:rFonts w:ascii="Palatino" w:hAnsi="Palatino" w:cs="Times New Roman"/>
          <w:i/>
        </w:rPr>
        <w:t>Making P</w:t>
      </w:r>
      <w:r w:rsidR="0061777F" w:rsidRPr="0003305D">
        <w:rPr>
          <w:rFonts w:ascii="Palatino" w:hAnsi="Palatino" w:cs="Times New Roman"/>
          <w:i/>
        </w:rPr>
        <w:t xml:space="preserve">olicy </w:t>
      </w:r>
      <w:r w:rsidR="00283158">
        <w:rPr>
          <w:rFonts w:ascii="Palatino" w:hAnsi="Palatino" w:cs="Times New Roman"/>
          <w:i/>
        </w:rPr>
        <w:t>in Turbulent Times: Challenges and Prospects for Higher E</w:t>
      </w:r>
      <w:r w:rsidR="0061777F" w:rsidRPr="0003305D">
        <w:rPr>
          <w:rFonts w:ascii="Palatino" w:hAnsi="Palatino" w:cs="Times New Roman"/>
          <w:i/>
        </w:rPr>
        <w:t>ducation</w:t>
      </w:r>
      <w:r w:rsidR="0061777F">
        <w:rPr>
          <w:rFonts w:ascii="Palatino" w:hAnsi="Palatino" w:cs="Times New Roman"/>
        </w:rPr>
        <w:t xml:space="preserve"> </w:t>
      </w:r>
      <w:r w:rsidR="00C7679E">
        <w:rPr>
          <w:rFonts w:ascii="Palatino" w:hAnsi="Palatino" w:cs="Times New Roman"/>
        </w:rPr>
        <w:t xml:space="preserve">edited by </w:t>
      </w:r>
      <w:r>
        <w:rPr>
          <w:rFonts w:ascii="Palatino" w:hAnsi="Palatino" w:cs="Times New Roman"/>
        </w:rPr>
        <w:t xml:space="preserve">P. Axelrod, R. Desai </w:t>
      </w:r>
      <w:proofErr w:type="spellStart"/>
      <w:r>
        <w:rPr>
          <w:rFonts w:ascii="Palatino" w:hAnsi="Palatino" w:cs="Times New Roman"/>
        </w:rPr>
        <w:t>Trilokekar</w:t>
      </w:r>
      <w:proofErr w:type="spellEnd"/>
      <w:r>
        <w:rPr>
          <w:rFonts w:ascii="Palatino" w:hAnsi="Palatino" w:cs="Times New Roman"/>
        </w:rPr>
        <w:t>, T.</w:t>
      </w:r>
      <w:r w:rsidR="00C7679E">
        <w:rPr>
          <w:rFonts w:ascii="Palatino" w:hAnsi="Palatino" w:cs="Times New Roman"/>
        </w:rPr>
        <w:t xml:space="preserve"> Shanahan and R. </w:t>
      </w:r>
      <w:proofErr w:type="spellStart"/>
      <w:r w:rsidR="00C7679E">
        <w:rPr>
          <w:rFonts w:ascii="Palatino" w:hAnsi="Palatino" w:cs="Times New Roman"/>
        </w:rPr>
        <w:t>Wellen</w:t>
      </w:r>
      <w:proofErr w:type="spellEnd"/>
      <w:r w:rsidR="00C7679E">
        <w:rPr>
          <w:rFonts w:ascii="Palatino" w:hAnsi="Palatino" w:cs="Times New Roman"/>
        </w:rPr>
        <w:t>, 1-6</w:t>
      </w:r>
      <w:r w:rsidR="0061777F">
        <w:rPr>
          <w:rFonts w:ascii="Palatino" w:hAnsi="Palatino" w:cs="Times New Roman"/>
        </w:rPr>
        <w:t>. Montreal and Kingston: McGill-Queen’s University Press</w:t>
      </w:r>
      <w:r w:rsidR="00C7679E">
        <w:rPr>
          <w:rFonts w:ascii="Palatino" w:hAnsi="Palatino" w:cs="Times New Roman"/>
        </w:rPr>
        <w:t>.</w:t>
      </w:r>
    </w:p>
    <w:p w:rsidR="00D928B1" w:rsidRDefault="00D928B1" w:rsidP="00D928B1">
      <w:pPr>
        <w:tabs>
          <w:tab w:val="left" w:pos="360"/>
        </w:tabs>
        <w:ind w:left="720" w:hanging="720"/>
        <w:rPr>
          <w:rFonts w:ascii="Palatino" w:hAnsi="Palatino" w:cs="Times New Roman"/>
        </w:rPr>
      </w:pPr>
      <w:r w:rsidRPr="0019387B">
        <w:rPr>
          <w:rFonts w:ascii="Palatino" w:hAnsi="Palatino" w:cs="Times New Roman"/>
        </w:rPr>
        <w:t>Bentley, P. J., Coates, H., D</w:t>
      </w:r>
      <w:r w:rsidR="008012B3">
        <w:rPr>
          <w:rFonts w:ascii="Palatino" w:hAnsi="Palatino" w:cs="Times New Roman"/>
        </w:rPr>
        <w:t xml:space="preserve">obson, I. R., </w:t>
      </w:r>
      <w:proofErr w:type="spellStart"/>
      <w:r w:rsidR="008012B3">
        <w:rPr>
          <w:rFonts w:ascii="Palatino" w:hAnsi="Palatino" w:cs="Times New Roman"/>
        </w:rPr>
        <w:t>Goedegebuure</w:t>
      </w:r>
      <w:proofErr w:type="spellEnd"/>
      <w:r w:rsidR="008012B3">
        <w:rPr>
          <w:rFonts w:ascii="Palatino" w:hAnsi="Palatino" w:cs="Times New Roman"/>
        </w:rPr>
        <w:t>, L. and V. L. Meek eds. 2013</w:t>
      </w:r>
      <w:r w:rsidRPr="0019387B">
        <w:rPr>
          <w:rFonts w:ascii="Palatino" w:hAnsi="Palatino" w:cs="Times New Roman"/>
        </w:rPr>
        <w:t xml:space="preserve">. </w:t>
      </w:r>
      <w:r w:rsidR="008012B3">
        <w:rPr>
          <w:rFonts w:ascii="Palatino" w:hAnsi="Palatino" w:cs="Times New Roman"/>
          <w:i/>
          <w:iCs/>
        </w:rPr>
        <w:t>Job Satisfaction A</w:t>
      </w:r>
      <w:r w:rsidR="00CA0E99">
        <w:rPr>
          <w:rFonts w:ascii="Palatino" w:hAnsi="Palatino" w:cs="Times New Roman"/>
          <w:i/>
          <w:iCs/>
        </w:rPr>
        <w:t>round the A</w:t>
      </w:r>
      <w:r w:rsidRPr="0019387B">
        <w:rPr>
          <w:rFonts w:ascii="Palatino" w:hAnsi="Palatino" w:cs="Times New Roman"/>
          <w:i/>
          <w:iCs/>
        </w:rPr>
        <w:t>cadem</w:t>
      </w:r>
      <w:r w:rsidR="00CA0E99">
        <w:rPr>
          <w:rFonts w:ascii="Palatino" w:hAnsi="Palatino" w:cs="Times New Roman"/>
          <w:i/>
          <w:iCs/>
        </w:rPr>
        <w:t>ic W</w:t>
      </w:r>
      <w:r w:rsidRPr="0019387B">
        <w:rPr>
          <w:rFonts w:ascii="Palatino" w:hAnsi="Palatino" w:cs="Times New Roman"/>
          <w:i/>
          <w:iCs/>
        </w:rPr>
        <w:t>orld. </w:t>
      </w:r>
      <w:r w:rsidRPr="0019387B">
        <w:rPr>
          <w:rFonts w:ascii="Palatino" w:hAnsi="Palatino" w:cs="Times New Roman"/>
        </w:rPr>
        <w:t>Dordrecht, The Netherlands: Springer. </w:t>
      </w:r>
    </w:p>
    <w:p w:rsidR="00B64B03" w:rsidRPr="0019387B" w:rsidRDefault="00CA0E99" w:rsidP="00D928B1">
      <w:pPr>
        <w:tabs>
          <w:tab w:val="left" w:pos="360"/>
        </w:tabs>
        <w:ind w:left="720" w:hanging="720"/>
        <w:rPr>
          <w:rFonts w:ascii="Palatino" w:hAnsi="Palatino" w:cs="Times New Roman"/>
        </w:rPr>
      </w:pPr>
      <w:r>
        <w:rPr>
          <w:rFonts w:ascii="Palatino" w:hAnsi="Palatino" w:cs="Times New Roman"/>
        </w:rPr>
        <w:t>Birnbaum, R. 2004</w:t>
      </w:r>
      <w:r w:rsidR="00B64B03">
        <w:rPr>
          <w:rFonts w:ascii="Palatino" w:hAnsi="Palatino" w:cs="Times New Roman"/>
        </w:rPr>
        <w:t xml:space="preserve">. </w:t>
      </w:r>
      <w:r>
        <w:rPr>
          <w:rFonts w:ascii="Palatino" w:hAnsi="Palatino" w:cs="Times New Roman"/>
          <w:i/>
        </w:rPr>
        <w:t>Speaking of Higher Education: The Academic’s Book of Q</w:t>
      </w:r>
      <w:r w:rsidR="00B64B03" w:rsidRPr="00B64B03">
        <w:rPr>
          <w:rFonts w:ascii="Palatino" w:hAnsi="Palatino" w:cs="Times New Roman"/>
          <w:i/>
        </w:rPr>
        <w:t>uotations.</w:t>
      </w:r>
      <w:r w:rsidR="00B64B03">
        <w:rPr>
          <w:rFonts w:ascii="Palatino" w:hAnsi="Palatino" w:cs="Times New Roman"/>
        </w:rPr>
        <w:t xml:space="preserve"> Westport: American Council on Education and Praeger.</w:t>
      </w:r>
    </w:p>
    <w:p w:rsidR="00D928B1" w:rsidRPr="0019387B" w:rsidRDefault="00CA0E99" w:rsidP="00D928B1">
      <w:pPr>
        <w:tabs>
          <w:tab w:val="left" w:pos="360"/>
        </w:tabs>
        <w:ind w:left="720" w:hanging="720"/>
        <w:rPr>
          <w:rFonts w:ascii="Palatino" w:hAnsi="Palatino" w:cs="Times New Roman"/>
        </w:rPr>
      </w:pPr>
      <w:r>
        <w:rPr>
          <w:rFonts w:ascii="Palatino" w:hAnsi="Palatino" w:cs="Times New Roman"/>
        </w:rPr>
        <w:t xml:space="preserve">Berger, J., Motte, A. and A. Parkin 2007. </w:t>
      </w:r>
      <w:r w:rsidRPr="00CA0E99">
        <w:rPr>
          <w:rFonts w:ascii="Palatino" w:hAnsi="Palatino" w:cs="Times New Roman"/>
          <w:i/>
        </w:rPr>
        <w:t>The Price of K</w:t>
      </w:r>
      <w:r w:rsidR="00D928B1" w:rsidRPr="00CA0E99">
        <w:rPr>
          <w:rFonts w:ascii="Palatino" w:hAnsi="Palatino" w:cs="Times New Roman"/>
          <w:i/>
        </w:rPr>
        <w:t>nowledge</w:t>
      </w:r>
      <w:r w:rsidR="00D928B1" w:rsidRPr="0019387B">
        <w:rPr>
          <w:rFonts w:ascii="Palatino" w:hAnsi="Palatino" w:cs="Times New Roman"/>
        </w:rPr>
        <w:t>. Montreal: Canada Millennium Scholarship Foundation.</w:t>
      </w:r>
    </w:p>
    <w:p w:rsidR="00D928B1" w:rsidRPr="0019387B" w:rsidRDefault="00CA0E99" w:rsidP="00D928B1">
      <w:pPr>
        <w:tabs>
          <w:tab w:val="left" w:pos="360"/>
        </w:tabs>
        <w:ind w:left="720" w:hanging="720"/>
        <w:rPr>
          <w:rFonts w:ascii="Palatino" w:hAnsi="Palatino" w:cs="Times New Roman"/>
        </w:rPr>
      </w:pPr>
      <w:r>
        <w:rPr>
          <w:rFonts w:ascii="Palatino" w:hAnsi="Palatino" w:cs="Times New Roman"/>
        </w:rPr>
        <w:t>Canadian Council on Learning 2009</w:t>
      </w:r>
      <w:r w:rsidR="00D928B1" w:rsidRPr="0019387B">
        <w:rPr>
          <w:rFonts w:ascii="Palatino" w:hAnsi="Palatino" w:cs="Times New Roman"/>
        </w:rPr>
        <w:t xml:space="preserve">. </w:t>
      </w:r>
      <w:r>
        <w:rPr>
          <w:rFonts w:ascii="Palatino" w:hAnsi="Palatino" w:cs="Times New Roman"/>
          <w:i/>
        </w:rPr>
        <w:t>Post-Secondary Education in Canada: Meeting Our N</w:t>
      </w:r>
      <w:r w:rsidR="00D928B1" w:rsidRPr="0019387B">
        <w:rPr>
          <w:rFonts w:ascii="Palatino" w:hAnsi="Palatino" w:cs="Times New Roman"/>
          <w:i/>
        </w:rPr>
        <w:t>eeds?</w:t>
      </w:r>
      <w:r w:rsidR="00D928B1" w:rsidRPr="0019387B">
        <w:rPr>
          <w:rFonts w:ascii="Palatino" w:hAnsi="Palatino" w:cs="Times New Roman"/>
        </w:rPr>
        <w:t xml:space="preserve"> Ottawa: Canadian Council on Learning.</w:t>
      </w:r>
    </w:p>
    <w:p w:rsidR="00D928B1" w:rsidRDefault="00CA0E99" w:rsidP="00D928B1">
      <w:pPr>
        <w:tabs>
          <w:tab w:val="left" w:pos="360"/>
        </w:tabs>
        <w:ind w:left="720" w:hanging="720"/>
        <w:rPr>
          <w:rFonts w:ascii="Palatino" w:hAnsi="Palatino" w:cs="Times New Roman"/>
        </w:rPr>
      </w:pPr>
      <w:r>
        <w:rPr>
          <w:rFonts w:ascii="Palatino" w:hAnsi="Palatino" w:cs="Times New Roman"/>
        </w:rPr>
        <w:lastRenderedPageBreak/>
        <w:t xml:space="preserve">Cavalli, A. and R. </w:t>
      </w:r>
      <w:proofErr w:type="spellStart"/>
      <w:r>
        <w:rPr>
          <w:rFonts w:ascii="Palatino" w:hAnsi="Palatino" w:cs="Times New Roman"/>
        </w:rPr>
        <w:t>Moscati</w:t>
      </w:r>
      <w:proofErr w:type="spellEnd"/>
      <w:r>
        <w:rPr>
          <w:rFonts w:ascii="Palatino" w:hAnsi="Palatino" w:cs="Times New Roman"/>
        </w:rPr>
        <w:t xml:space="preserve"> 2010. “Academic Systems and Professional C</w:t>
      </w:r>
      <w:r w:rsidR="00D928B1" w:rsidRPr="0019387B">
        <w:rPr>
          <w:rFonts w:ascii="Palatino" w:hAnsi="Palatino" w:cs="Times New Roman"/>
        </w:rPr>
        <w:t>ond</w:t>
      </w:r>
      <w:r>
        <w:rPr>
          <w:rFonts w:ascii="Palatino" w:hAnsi="Palatino" w:cs="Times New Roman"/>
        </w:rPr>
        <w:t>itions in Five European C</w:t>
      </w:r>
      <w:r w:rsidR="00D928B1" w:rsidRPr="0019387B">
        <w:rPr>
          <w:rFonts w:ascii="Palatino" w:hAnsi="Palatino" w:cs="Times New Roman"/>
        </w:rPr>
        <w:t>ountries.</w:t>
      </w:r>
      <w:r>
        <w:rPr>
          <w:rFonts w:ascii="Palatino" w:hAnsi="Palatino" w:cs="Times New Roman"/>
        </w:rPr>
        <w:t>”</w:t>
      </w:r>
      <w:r w:rsidR="00D928B1" w:rsidRPr="0019387B">
        <w:rPr>
          <w:rFonts w:ascii="Palatino" w:hAnsi="Palatino" w:cs="Times New Roman"/>
        </w:rPr>
        <w:t xml:space="preserve"> </w:t>
      </w:r>
      <w:r w:rsidR="00D928B1" w:rsidRPr="0019387B">
        <w:rPr>
          <w:rFonts w:ascii="Palatino" w:hAnsi="Palatino" w:cs="Times New Roman"/>
          <w:i/>
        </w:rPr>
        <w:t>European Review</w:t>
      </w:r>
      <w:r w:rsidR="00D928B1" w:rsidRPr="0019387B">
        <w:rPr>
          <w:rFonts w:ascii="Palatino" w:hAnsi="Palatino" w:cs="Times New Roman"/>
        </w:rPr>
        <w:t>, 18 Supplement no. 1, S35-S53.</w:t>
      </w:r>
    </w:p>
    <w:p w:rsidR="0003305D" w:rsidRPr="0019387B" w:rsidRDefault="00CA0E99" w:rsidP="00D928B1">
      <w:pPr>
        <w:tabs>
          <w:tab w:val="left" w:pos="360"/>
        </w:tabs>
        <w:ind w:left="720" w:hanging="720"/>
        <w:rPr>
          <w:rFonts w:ascii="Palatino" w:hAnsi="Palatino" w:cs="Times New Roman"/>
        </w:rPr>
      </w:pPr>
      <w:r>
        <w:rPr>
          <w:rFonts w:ascii="Palatino" w:hAnsi="Palatino" w:cs="Times New Roman"/>
        </w:rPr>
        <w:t xml:space="preserve">Clark, I.D. and K. Norrie 2013. </w:t>
      </w:r>
      <w:r w:rsidR="00283158">
        <w:rPr>
          <w:rFonts w:ascii="Palatino" w:hAnsi="Palatino" w:cs="Times New Roman"/>
        </w:rPr>
        <w:t>“</w:t>
      </w:r>
      <w:r>
        <w:rPr>
          <w:rFonts w:ascii="Palatino" w:hAnsi="Palatino" w:cs="Times New Roman"/>
        </w:rPr>
        <w:t>Research and Reluctance in Improving Canadian Higher E</w:t>
      </w:r>
      <w:r w:rsidR="0003305D">
        <w:rPr>
          <w:rFonts w:ascii="Palatino" w:hAnsi="Palatino" w:cs="Times New Roman"/>
        </w:rPr>
        <w:t>ducation.</w:t>
      </w:r>
      <w:r w:rsidR="00283158">
        <w:rPr>
          <w:rFonts w:ascii="Palatino" w:hAnsi="Palatino" w:cs="Times New Roman"/>
        </w:rPr>
        <w:t>”</w:t>
      </w:r>
      <w:r w:rsidR="0003305D">
        <w:rPr>
          <w:rFonts w:ascii="Palatino" w:hAnsi="Palatino" w:cs="Times New Roman"/>
        </w:rPr>
        <w:t xml:space="preserve"> In </w:t>
      </w:r>
      <w:r w:rsidR="00283158" w:rsidRPr="0003305D">
        <w:rPr>
          <w:rFonts w:ascii="Palatino" w:hAnsi="Palatino" w:cs="Times New Roman"/>
          <w:i/>
        </w:rPr>
        <w:t xml:space="preserve">Making </w:t>
      </w:r>
      <w:r w:rsidR="00283158">
        <w:rPr>
          <w:rFonts w:ascii="Palatino" w:hAnsi="Palatino" w:cs="Times New Roman"/>
          <w:i/>
        </w:rPr>
        <w:t>Policy in Turbulent Times: Challenges and Prospects for Higher E</w:t>
      </w:r>
      <w:r w:rsidR="00283158" w:rsidRPr="0003305D">
        <w:rPr>
          <w:rFonts w:ascii="Palatino" w:hAnsi="Palatino" w:cs="Times New Roman"/>
          <w:i/>
        </w:rPr>
        <w:t>ducation</w:t>
      </w:r>
      <w:r w:rsidR="00283158">
        <w:rPr>
          <w:rFonts w:ascii="Palatino" w:hAnsi="Palatino" w:cs="Times New Roman"/>
        </w:rPr>
        <w:t xml:space="preserve"> edited by </w:t>
      </w:r>
      <w:r w:rsidR="0003305D">
        <w:rPr>
          <w:rFonts w:ascii="Palatino" w:hAnsi="Palatino" w:cs="Times New Roman"/>
        </w:rPr>
        <w:t xml:space="preserve">P. Axelrod, R. Desai </w:t>
      </w:r>
      <w:proofErr w:type="spellStart"/>
      <w:r w:rsidR="0003305D">
        <w:rPr>
          <w:rFonts w:ascii="Palatino" w:hAnsi="Palatino" w:cs="Times New Roman"/>
        </w:rPr>
        <w:t>Trilokekar</w:t>
      </w:r>
      <w:proofErr w:type="spellEnd"/>
      <w:r w:rsidR="0003305D">
        <w:rPr>
          <w:rFonts w:ascii="Palatino" w:hAnsi="Palatino" w:cs="Times New Roman"/>
        </w:rPr>
        <w:t xml:space="preserve">, </w:t>
      </w:r>
      <w:r w:rsidR="00283158">
        <w:rPr>
          <w:rFonts w:ascii="Palatino" w:hAnsi="Palatino" w:cs="Times New Roman"/>
        </w:rPr>
        <w:t xml:space="preserve">T. Shanahan and R. </w:t>
      </w:r>
      <w:proofErr w:type="spellStart"/>
      <w:r w:rsidR="00283158">
        <w:rPr>
          <w:rFonts w:ascii="Palatino" w:hAnsi="Palatino" w:cs="Times New Roman"/>
        </w:rPr>
        <w:t>Wellen</w:t>
      </w:r>
      <w:proofErr w:type="spellEnd"/>
      <w:r w:rsidR="0003305D">
        <w:rPr>
          <w:rFonts w:ascii="Palatino" w:hAnsi="Palatino" w:cs="Times New Roman"/>
        </w:rPr>
        <w:t xml:space="preserve">, </w:t>
      </w:r>
      <w:r w:rsidR="00283158">
        <w:rPr>
          <w:rFonts w:ascii="Palatino" w:hAnsi="Palatino" w:cs="Times New Roman"/>
        </w:rPr>
        <w:t>189-217</w:t>
      </w:r>
      <w:r w:rsidR="0003305D">
        <w:rPr>
          <w:rFonts w:ascii="Palatino" w:hAnsi="Palatino" w:cs="Times New Roman"/>
        </w:rPr>
        <w:t>. Montreal and Kingston: McGill-Queen’s University Press.</w:t>
      </w:r>
    </w:p>
    <w:p w:rsidR="00D928B1" w:rsidRPr="0019387B" w:rsidRDefault="00283158" w:rsidP="00D928B1">
      <w:pPr>
        <w:tabs>
          <w:tab w:val="left" w:pos="360"/>
        </w:tabs>
        <w:ind w:left="720" w:hanging="720"/>
        <w:rPr>
          <w:rFonts w:ascii="Palatino" w:hAnsi="Palatino" w:cs="Times New Roman"/>
        </w:rPr>
      </w:pPr>
      <w:r>
        <w:rPr>
          <w:rFonts w:ascii="Palatino" w:hAnsi="Palatino" w:cs="Times New Roman"/>
        </w:rPr>
        <w:t>Clark, I, Trick, D. and R. Van Loon 2011</w:t>
      </w:r>
      <w:r w:rsidR="00D928B1" w:rsidRPr="0019387B">
        <w:rPr>
          <w:rFonts w:ascii="Palatino" w:hAnsi="Palatino" w:cs="Times New Roman"/>
        </w:rPr>
        <w:t xml:space="preserve">. </w:t>
      </w:r>
      <w:r>
        <w:rPr>
          <w:rFonts w:ascii="Palatino" w:hAnsi="Palatino" w:cs="Times New Roman"/>
          <w:i/>
        </w:rPr>
        <w:t>Academic Reform: Policy Options for Improving the Quality and Cost-Effectiveness of Undergraduate E</w:t>
      </w:r>
      <w:r w:rsidR="00D928B1" w:rsidRPr="0019387B">
        <w:rPr>
          <w:rFonts w:ascii="Palatino" w:hAnsi="Palatino" w:cs="Times New Roman"/>
          <w:i/>
        </w:rPr>
        <w:t>ducation in Ontario</w:t>
      </w:r>
      <w:r w:rsidR="00D928B1" w:rsidRPr="0019387B">
        <w:rPr>
          <w:rFonts w:ascii="Palatino" w:hAnsi="Palatino" w:cs="Times New Roman"/>
        </w:rPr>
        <w:t>. Montreal and Kingston: McGill-Queen’s University Press.</w:t>
      </w:r>
    </w:p>
    <w:p w:rsidR="00D928B1" w:rsidRPr="0019387B" w:rsidRDefault="004F143A" w:rsidP="00D928B1">
      <w:pPr>
        <w:tabs>
          <w:tab w:val="left" w:pos="360"/>
        </w:tabs>
        <w:ind w:left="720" w:hanging="720"/>
        <w:rPr>
          <w:rFonts w:ascii="Palatino" w:hAnsi="Palatino" w:cs="Times New Roman"/>
        </w:rPr>
      </w:pPr>
      <w:r>
        <w:rPr>
          <w:rFonts w:ascii="Palatino" w:hAnsi="Palatino" w:cs="Times New Roman"/>
        </w:rPr>
        <w:t>Cohen, A.M. and F. B.  Brawer 2008</w:t>
      </w:r>
      <w:r w:rsidR="00D928B1" w:rsidRPr="0019387B">
        <w:rPr>
          <w:rFonts w:ascii="Palatino" w:hAnsi="Palatino" w:cs="Times New Roman"/>
        </w:rPr>
        <w:t xml:space="preserve">. </w:t>
      </w:r>
      <w:r>
        <w:rPr>
          <w:rFonts w:ascii="Palatino" w:hAnsi="Palatino" w:cs="Times New Roman"/>
          <w:i/>
        </w:rPr>
        <w:t>The American Community C</w:t>
      </w:r>
      <w:r w:rsidR="00D928B1" w:rsidRPr="0019387B">
        <w:rPr>
          <w:rFonts w:ascii="Palatino" w:hAnsi="Palatino" w:cs="Times New Roman"/>
          <w:i/>
        </w:rPr>
        <w:t>ollege (5th edition)</w:t>
      </w:r>
      <w:r w:rsidR="00D928B1" w:rsidRPr="0019387B">
        <w:rPr>
          <w:rFonts w:ascii="Palatino" w:hAnsi="Palatino" w:cs="Times New Roman"/>
        </w:rPr>
        <w:t>. San Francisco: Jossey-Bass.</w:t>
      </w:r>
    </w:p>
    <w:p w:rsidR="00D928B1" w:rsidRPr="0019387B" w:rsidRDefault="004F143A" w:rsidP="00D928B1">
      <w:pPr>
        <w:tabs>
          <w:tab w:val="left" w:pos="360"/>
        </w:tabs>
        <w:ind w:left="720" w:hanging="720"/>
        <w:rPr>
          <w:rFonts w:ascii="Palatino" w:hAnsi="Palatino" w:cs="Times New Roman"/>
        </w:rPr>
      </w:pPr>
      <w:r>
        <w:rPr>
          <w:rFonts w:ascii="Palatino" w:hAnsi="Palatino" w:cs="Times New Roman"/>
        </w:rPr>
        <w:t>Corry, J. A. 1970</w:t>
      </w:r>
      <w:r w:rsidR="00D928B1" w:rsidRPr="0019387B">
        <w:rPr>
          <w:rFonts w:ascii="Palatino" w:hAnsi="Palatino" w:cs="Times New Roman"/>
        </w:rPr>
        <w:t xml:space="preserve">. </w:t>
      </w:r>
      <w:r>
        <w:rPr>
          <w:rFonts w:ascii="Palatino" w:hAnsi="Palatino" w:cs="Times New Roman"/>
          <w:i/>
        </w:rPr>
        <w:t>Farewell the I</w:t>
      </w:r>
      <w:r w:rsidR="00D928B1" w:rsidRPr="0019387B">
        <w:rPr>
          <w:rFonts w:ascii="Palatino" w:hAnsi="Palatino" w:cs="Times New Roman"/>
          <w:i/>
        </w:rPr>
        <w:t>vory</w:t>
      </w:r>
      <w:r>
        <w:rPr>
          <w:rFonts w:ascii="Palatino" w:hAnsi="Palatino" w:cs="Times New Roman"/>
          <w:i/>
        </w:rPr>
        <w:t xml:space="preserve"> Tower: Universities in T</w:t>
      </w:r>
      <w:r w:rsidR="00D928B1" w:rsidRPr="0019387B">
        <w:rPr>
          <w:rFonts w:ascii="Palatino" w:hAnsi="Palatino" w:cs="Times New Roman"/>
          <w:i/>
        </w:rPr>
        <w:t>ransition</w:t>
      </w:r>
      <w:r w:rsidR="00D928B1" w:rsidRPr="0019387B">
        <w:rPr>
          <w:rFonts w:ascii="Palatino" w:hAnsi="Palatino" w:cs="Times New Roman"/>
        </w:rPr>
        <w:t>. Montreal: McGill-Queen’s University Press.</w:t>
      </w:r>
    </w:p>
    <w:p w:rsidR="00D928B1" w:rsidRPr="0019387B" w:rsidRDefault="004F143A" w:rsidP="00D928B1">
      <w:pPr>
        <w:tabs>
          <w:tab w:val="left" w:pos="360"/>
        </w:tabs>
        <w:ind w:left="720" w:hanging="720"/>
        <w:rPr>
          <w:rFonts w:ascii="Palatino" w:eastAsia="Calibri" w:hAnsi="Palatino" w:cs="Times New Roman"/>
        </w:rPr>
      </w:pPr>
      <w:r>
        <w:rPr>
          <w:rFonts w:ascii="Palatino" w:eastAsia="Calibri" w:hAnsi="Palatino" w:cs="Times New Roman"/>
        </w:rPr>
        <w:t>Dennison, J. D. 1992. “Higher Education as a Field of S</w:t>
      </w:r>
      <w:r w:rsidR="00D928B1" w:rsidRPr="0019387B">
        <w:rPr>
          <w:rFonts w:ascii="Palatino" w:eastAsia="Calibri" w:hAnsi="Palatino" w:cs="Times New Roman"/>
        </w:rPr>
        <w:t>tudy in Canada.</w:t>
      </w:r>
      <w:r>
        <w:rPr>
          <w:rFonts w:ascii="Palatino" w:eastAsia="Calibri" w:hAnsi="Palatino" w:cs="Times New Roman"/>
        </w:rPr>
        <w:t>”</w:t>
      </w:r>
      <w:r w:rsidR="00D928B1" w:rsidRPr="0019387B">
        <w:rPr>
          <w:rFonts w:ascii="Palatino" w:eastAsia="Calibri" w:hAnsi="Palatino" w:cs="Times New Roman"/>
        </w:rPr>
        <w:t xml:space="preserve"> In </w:t>
      </w:r>
      <w:r w:rsidR="00D928B1" w:rsidRPr="0019387B">
        <w:rPr>
          <w:rFonts w:ascii="Palatino" w:eastAsia="Calibri" w:hAnsi="Palatino" w:cs="Times New Roman"/>
          <w:i/>
        </w:rPr>
        <w:t>Higher education in Canada</w:t>
      </w:r>
      <w:r w:rsidR="00D928B1" w:rsidRPr="0019387B">
        <w:rPr>
          <w:rFonts w:ascii="Palatino" w:eastAsia="Calibri" w:hAnsi="Palatino" w:cs="Times New Roman"/>
        </w:rPr>
        <w:t xml:space="preserve"> </w:t>
      </w:r>
      <w:r>
        <w:rPr>
          <w:rFonts w:ascii="Palatino" w:eastAsia="Calibri" w:hAnsi="Palatino" w:cs="Times New Roman"/>
        </w:rPr>
        <w:t xml:space="preserve">edited by </w:t>
      </w:r>
      <w:r w:rsidRPr="0019387B">
        <w:rPr>
          <w:rFonts w:ascii="Palatino" w:eastAsia="Calibri" w:hAnsi="Palatino" w:cs="Times New Roman"/>
        </w:rPr>
        <w:t>A.</w:t>
      </w:r>
      <w:r>
        <w:rPr>
          <w:rFonts w:ascii="Palatino" w:eastAsia="Calibri" w:hAnsi="Palatino" w:cs="Times New Roman"/>
        </w:rPr>
        <w:t>D. Gregor and G. Jasmin, 83-91</w:t>
      </w:r>
      <w:r w:rsidR="00D928B1" w:rsidRPr="0019387B">
        <w:rPr>
          <w:rFonts w:ascii="Palatino" w:eastAsia="Calibri" w:hAnsi="Palatino" w:cs="Times New Roman"/>
        </w:rPr>
        <w:t>. Ottawa: Supply and Services Canada.</w:t>
      </w:r>
    </w:p>
    <w:p w:rsidR="00D928B1" w:rsidRPr="0019387B" w:rsidRDefault="004F143A" w:rsidP="00D928B1">
      <w:pPr>
        <w:tabs>
          <w:tab w:val="left" w:pos="360"/>
        </w:tabs>
        <w:ind w:left="720" w:hanging="720"/>
        <w:rPr>
          <w:rFonts w:ascii="Palatino" w:eastAsia="Calibri" w:hAnsi="Palatino" w:cs="Times New Roman"/>
        </w:rPr>
      </w:pPr>
      <w:r>
        <w:rPr>
          <w:rFonts w:ascii="Palatino" w:eastAsia="Calibri" w:hAnsi="Palatino" w:cs="Times New Roman"/>
        </w:rPr>
        <w:t>Dennison, J. D. and P. Gallagher 1986</w:t>
      </w:r>
      <w:r w:rsidR="00D928B1" w:rsidRPr="0019387B">
        <w:rPr>
          <w:rFonts w:ascii="Palatino" w:eastAsia="Calibri" w:hAnsi="Palatino" w:cs="Times New Roman"/>
        </w:rPr>
        <w:t xml:space="preserve">. </w:t>
      </w:r>
      <w:r>
        <w:rPr>
          <w:rFonts w:ascii="Palatino" w:eastAsia="Calibri" w:hAnsi="Palatino" w:cs="Times New Roman"/>
          <w:i/>
          <w:iCs/>
        </w:rPr>
        <w:t>Canada’s Community Colleges: A Critical A</w:t>
      </w:r>
      <w:r w:rsidR="00D928B1" w:rsidRPr="0019387B">
        <w:rPr>
          <w:rFonts w:ascii="Palatino" w:eastAsia="Calibri" w:hAnsi="Palatino" w:cs="Times New Roman"/>
          <w:i/>
          <w:iCs/>
        </w:rPr>
        <w:t>nalysis</w:t>
      </w:r>
      <w:r w:rsidR="00D928B1" w:rsidRPr="0019387B">
        <w:rPr>
          <w:rFonts w:ascii="Palatino" w:eastAsia="Calibri" w:hAnsi="Palatino" w:cs="Times New Roman"/>
        </w:rPr>
        <w:t>. Vancouver: UBC Press.</w:t>
      </w:r>
    </w:p>
    <w:p w:rsidR="00D928B1" w:rsidRPr="0019387B" w:rsidRDefault="004F143A" w:rsidP="00D928B1">
      <w:pPr>
        <w:tabs>
          <w:tab w:val="left" w:pos="360"/>
        </w:tabs>
        <w:ind w:left="720" w:hanging="720"/>
        <w:rPr>
          <w:rFonts w:ascii="Palatino" w:eastAsia="Calibri" w:hAnsi="Palatino" w:cs="Times New Roman"/>
        </w:rPr>
      </w:pPr>
      <w:proofErr w:type="spellStart"/>
      <w:r>
        <w:rPr>
          <w:rFonts w:ascii="Palatino" w:eastAsia="Calibri" w:hAnsi="Palatino" w:cs="Times New Roman"/>
        </w:rPr>
        <w:t>Drolet</w:t>
      </w:r>
      <w:proofErr w:type="spellEnd"/>
      <w:r>
        <w:rPr>
          <w:rFonts w:ascii="Palatino" w:eastAsia="Calibri" w:hAnsi="Palatino" w:cs="Times New Roman"/>
        </w:rPr>
        <w:t>, M. 2005</w:t>
      </w:r>
      <w:r w:rsidR="00D928B1" w:rsidRPr="0019387B">
        <w:rPr>
          <w:rFonts w:ascii="Palatino" w:eastAsia="Calibri" w:hAnsi="Palatino" w:cs="Times New Roman"/>
        </w:rPr>
        <w:t xml:space="preserve">. </w:t>
      </w:r>
      <w:r>
        <w:rPr>
          <w:rFonts w:ascii="Palatino" w:eastAsia="Calibri" w:hAnsi="Palatino" w:cs="Times New Roman"/>
          <w:i/>
        </w:rPr>
        <w:t>Participation in Postsecondary Education in Canada: Has the Role of Parental Income and Education Changed O</w:t>
      </w:r>
      <w:r w:rsidR="00D928B1" w:rsidRPr="0019387B">
        <w:rPr>
          <w:rFonts w:ascii="Palatino" w:eastAsia="Calibri" w:hAnsi="Palatino" w:cs="Times New Roman"/>
          <w:i/>
        </w:rPr>
        <w:t>ver the 1990s?</w:t>
      </w:r>
      <w:r w:rsidR="00D928B1" w:rsidRPr="0019387B">
        <w:rPr>
          <w:rFonts w:ascii="Palatino" w:eastAsia="Calibri" w:hAnsi="Palatino" w:cs="Times New Roman"/>
        </w:rPr>
        <w:t xml:space="preserve"> Ottawa, ON: Statistics Canada.</w:t>
      </w:r>
    </w:p>
    <w:p w:rsidR="00D928B1" w:rsidRPr="0019387B" w:rsidRDefault="004F143A" w:rsidP="00D928B1">
      <w:pPr>
        <w:tabs>
          <w:tab w:val="left" w:pos="360"/>
        </w:tabs>
        <w:ind w:left="720" w:hanging="720"/>
        <w:rPr>
          <w:rFonts w:ascii="Palatino" w:eastAsia="Calibri" w:hAnsi="Palatino" w:cs="Times New Roman"/>
        </w:rPr>
      </w:pPr>
      <w:r>
        <w:rPr>
          <w:rFonts w:ascii="Palatino" w:eastAsia="Calibri" w:hAnsi="Palatino" w:cs="Times New Roman"/>
        </w:rPr>
        <w:t>Enders, J.</w:t>
      </w:r>
      <w:r w:rsidR="00D928B1" w:rsidRPr="0019387B">
        <w:rPr>
          <w:rFonts w:ascii="Palatino" w:eastAsia="Calibri" w:hAnsi="Palatino" w:cs="Times New Roman"/>
        </w:rPr>
        <w:t xml:space="preserve"> and </w:t>
      </w:r>
      <w:r>
        <w:rPr>
          <w:rFonts w:ascii="Palatino" w:eastAsia="Calibri" w:hAnsi="Palatino" w:cs="Times New Roman"/>
        </w:rPr>
        <w:t xml:space="preserve">C. </w:t>
      </w:r>
      <w:proofErr w:type="spellStart"/>
      <w:r>
        <w:rPr>
          <w:rFonts w:ascii="Palatino" w:eastAsia="Calibri" w:hAnsi="Palatino" w:cs="Times New Roman"/>
        </w:rPr>
        <w:t>Musselin</w:t>
      </w:r>
      <w:proofErr w:type="spellEnd"/>
      <w:r>
        <w:rPr>
          <w:rFonts w:ascii="Palatino" w:eastAsia="Calibri" w:hAnsi="Palatino" w:cs="Times New Roman"/>
        </w:rPr>
        <w:t xml:space="preserve"> 2008. “Back to the Future? The Academic P</w:t>
      </w:r>
      <w:r w:rsidR="00D928B1" w:rsidRPr="0019387B">
        <w:rPr>
          <w:rFonts w:ascii="Palatino" w:eastAsia="Calibri" w:hAnsi="Palatino" w:cs="Times New Roman"/>
        </w:rPr>
        <w:t>rofessions in the 21</w:t>
      </w:r>
      <w:r w:rsidR="00D928B1" w:rsidRPr="0019387B">
        <w:rPr>
          <w:rFonts w:ascii="Palatino" w:eastAsia="Calibri" w:hAnsi="Palatino" w:cs="Times New Roman"/>
          <w:vertAlign w:val="superscript"/>
        </w:rPr>
        <w:t>st</w:t>
      </w:r>
      <w:r>
        <w:rPr>
          <w:rFonts w:ascii="Palatino" w:eastAsia="Calibri" w:hAnsi="Palatino" w:cs="Times New Roman"/>
        </w:rPr>
        <w:t xml:space="preserve"> C</w:t>
      </w:r>
      <w:r w:rsidR="00D928B1" w:rsidRPr="0019387B">
        <w:rPr>
          <w:rFonts w:ascii="Palatino" w:eastAsia="Calibri" w:hAnsi="Palatino" w:cs="Times New Roman"/>
        </w:rPr>
        <w:t>entury.</w:t>
      </w:r>
      <w:r>
        <w:rPr>
          <w:rFonts w:ascii="Palatino" w:eastAsia="Calibri" w:hAnsi="Palatino" w:cs="Times New Roman"/>
        </w:rPr>
        <w:t>”</w:t>
      </w:r>
      <w:r w:rsidR="00D928B1" w:rsidRPr="0019387B">
        <w:rPr>
          <w:rFonts w:ascii="Palatino" w:eastAsia="Calibri" w:hAnsi="Palatino" w:cs="Times New Roman"/>
        </w:rPr>
        <w:t xml:space="preserve"> In </w:t>
      </w:r>
      <w:r w:rsidR="00D928B1" w:rsidRPr="0019387B">
        <w:rPr>
          <w:rFonts w:ascii="Palatino" w:eastAsia="Calibri" w:hAnsi="Palatino" w:cs="Times New Roman"/>
          <w:i/>
        </w:rPr>
        <w:t>Higher education to 2030: Volume 1, Demography</w:t>
      </w:r>
      <w:r>
        <w:rPr>
          <w:rFonts w:ascii="Palatino" w:eastAsia="Calibri" w:hAnsi="Palatino" w:cs="Times New Roman"/>
          <w:i/>
        </w:rPr>
        <w:t>,</w:t>
      </w:r>
      <w:r>
        <w:rPr>
          <w:rFonts w:ascii="Palatino" w:eastAsia="Calibri" w:hAnsi="Palatino" w:cs="Times New Roman"/>
        </w:rPr>
        <w:t xml:space="preserve"> 125-150</w:t>
      </w:r>
      <w:r w:rsidR="00D928B1" w:rsidRPr="0019387B">
        <w:rPr>
          <w:rFonts w:ascii="Palatino" w:eastAsia="Calibri" w:hAnsi="Palatino" w:cs="Times New Roman"/>
          <w:i/>
        </w:rPr>
        <w:t>.</w:t>
      </w:r>
      <w:r w:rsidR="00D928B1" w:rsidRPr="0019387B">
        <w:rPr>
          <w:rFonts w:ascii="Palatino" w:eastAsia="Calibri" w:hAnsi="Palatino" w:cs="Times New Roman"/>
        </w:rPr>
        <w:t xml:space="preserve"> Paris: Organization for Economic Cooperation and Development.</w:t>
      </w:r>
    </w:p>
    <w:p w:rsidR="00D928B1" w:rsidRPr="0019387B" w:rsidRDefault="004F143A" w:rsidP="00D928B1">
      <w:pPr>
        <w:tabs>
          <w:tab w:val="left" w:pos="360"/>
        </w:tabs>
        <w:ind w:left="720" w:hanging="720"/>
        <w:rPr>
          <w:rFonts w:ascii="Palatino" w:eastAsia="Calibri" w:hAnsi="Palatino" w:cs="Times New Roman"/>
        </w:rPr>
      </w:pPr>
      <w:r>
        <w:rPr>
          <w:rFonts w:ascii="Palatino" w:eastAsia="Calibri" w:hAnsi="Palatino" w:cs="Times New Roman"/>
        </w:rPr>
        <w:t>Fine, P. 2010</w:t>
      </w:r>
      <w:r w:rsidR="00D928B1" w:rsidRPr="0019387B">
        <w:rPr>
          <w:rFonts w:ascii="Palatino" w:eastAsia="Calibri" w:hAnsi="Palatino" w:cs="Times New Roman"/>
        </w:rPr>
        <w:t xml:space="preserve">. </w:t>
      </w:r>
      <w:r>
        <w:rPr>
          <w:rFonts w:ascii="Palatino" w:eastAsia="Calibri" w:hAnsi="Palatino" w:cs="Times New Roman"/>
        </w:rPr>
        <w:t>“Canada: Government Axes More Data C</w:t>
      </w:r>
      <w:r w:rsidR="00D928B1" w:rsidRPr="0019387B">
        <w:rPr>
          <w:rFonts w:ascii="Palatino" w:eastAsia="Calibri" w:hAnsi="Palatino" w:cs="Times New Roman"/>
        </w:rPr>
        <w:t>ollection.</w:t>
      </w:r>
      <w:r>
        <w:rPr>
          <w:rFonts w:ascii="Palatino" w:eastAsia="Calibri" w:hAnsi="Palatino" w:cs="Times New Roman"/>
        </w:rPr>
        <w:t>”</w:t>
      </w:r>
      <w:r w:rsidR="00D928B1" w:rsidRPr="0019387B">
        <w:rPr>
          <w:rFonts w:ascii="Palatino" w:eastAsia="Calibri" w:hAnsi="Palatino" w:cs="Times New Roman"/>
        </w:rPr>
        <w:t xml:space="preserve"> </w:t>
      </w:r>
      <w:r w:rsidR="00D928B1" w:rsidRPr="0019387B">
        <w:rPr>
          <w:rFonts w:ascii="Palatino" w:eastAsia="Calibri" w:hAnsi="Palatino" w:cs="Times New Roman"/>
          <w:i/>
        </w:rPr>
        <w:t>University World News</w:t>
      </w:r>
      <w:r w:rsidR="00D928B1" w:rsidRPr="0019387B">
        <w:rPr>
          <w:rFonts w:ascii="Palatino" w:eastAsia="Calibri" w:hAnsi="Palatino" w:cs="Times New Roman"/>
        </w:rPr>
        <w:t>, Issue 135, August 15.</w:t>
      </w:r>
    </w:p>
    <w:p w:rsidR="00D928B1" w:rsidRPr="0019387B" w:rsidRDefault="004F143A" w:rsidP="00D928B1">
      <w:pPr>
        <w:tabs>
          <w:tab w:val="left" w:pos="360"/>
        </w:tabs>
        <w:ind w:left="720" w:hanging="720"/>
        <w:rPr>
          <w:rFonts w:ascii="Palatino" w:eastAsia="Calibri" w:hAnsi="Palatino" w:cs="Times New Roman"/>
        </w:rPr>
      </w:pPr>
      <w:r>
        <w:rPr>
          <w:rFonts w:ascii="Palatino" w:eastAsia="Calibri" w:hAnsi="Palatino" w:cs="Times New Roman"/>
        </w:rPr>
        <w:t xml:space="preserve">Finkelstein, M. 2003. </w:t>
      </w:r>
      <w:r w:rsidR="009A58D7">
        <w:rPr>
          <w:rFonts w:ascii="Palatino" w:eastAsia="Calibri" w:hAnsi="Palatino" w:cs="Times New Roman"/>
        </w:rPr>
        <w:t>“</w:t>
      </w:r>
      <w:r>
        <w:rPr>
          <w:rFonts w:ascii="Palatino" w:eastAsia="Calibri" w:hAnsi="Palatino" w:cs="Times New Roman"/>
        </w:rPr>
        <w:t>The Morphing of the American Academic P</w:t>
      </w:r>
      <w:r w:rsidR="00D928B1" w:rsidRPr="0019387B">
        <w:rPr>
          <w:rFonts w:ascii="Palatino" w:eastAsia="Calibri" w:hAnsi="Palatino" w:cs="Times New Roman"/>
        </w:rPr>
        <w:t>rofession.</w:t>
      </w:r>
      <w:r w:rsidR="009A58D7">
        <w:rPr>
          <w:rFonts w:ascii="Palatino" w:eastAsia="Calibri" w:hAnsi="Palatino" w:cs="Times New Roman"/>
        </w:rPr>
        <w:t>”</w:t>
      </w:r>
      <w:r w:rsidR="00D928B1" w:rsidRPr="0019387B">
        <w:rPr>
          <w:rFonts w:ascii="Palatino" w:eastAsia="Calibri" w:hAnsi="Palatino" w:cs="Times New Roman"/>
        </w:rPr>
        <w:t xml:space="preserve"> </w:t>
      </w:r>
      <w:r w:rsidR="00D928B1" w:rsidRPr="0019387B">
        <w:rPr>
          <w:rFonts w:ascii="Palatino" w:eastAsia="Calibri" w:hAnsi="Palatino" w:cs="Times New Roman"/>
          <w:i/>
          <w:iCs/>
        </w:rPr>
        <w:t>Liberal Education</w:t>
      </w:r>
      <w:r w:rsidR="00D928B1" w:rsidRPr="0019387B">
        <w:rPr>
          <w:rFonts w:ascii="Palatino" w:eastAsia="Calibri" w:hAnsi="Palatino" w:cs="Times New Roman"/>
        </w:rPr>
        <w:t xml:space="preserve">. Association of American Colleges and Universities, Fall, </w:t>
      </w:r>
      <w:hyperlink r:id="rId8" w:history="1">
        <w:r w:rsidR="00D928B1" w:rsidRPr="0019387B">
          <w:rPr>
            <w:rStyle w:val="Hyperlink"/>
            <w:rFonts w:ascii="Palatino" w:eastAsia="Calibri" w:hAnsi="Palatino" w:cs="Times New Roman"/>
          </w:rPr>
          <w:t>www.aacu.org/liberaleducation/le-fa03/le-sfa03feature.cfm</w:t>
        </w:r>
      </w:hyperlink>
      <w:r w:rsidR="00D928B1" w:rsidRPr="0019387B">
        <w:rPr>
          <w:rFonts w:ascii="Palatino" w:eastAsia="Calibri" w:hAnsi="Palatino" w:cs="Times New Roman"/>
        </w:rPr>
        <w:t>.</w:t>
      </w:r>
    </w:p>
    <w:p w:rsidR="00D928B1" w:rsidRPr="0019387B" w:rsidRDefault="009A58D7" w:rsidP="00D928B1">
      <w:pPr>
        <w:tabs>
          <w:tab w:val="left" w:pos="360"/>
        </w:tabs>
        <w:ind w:left="720" w:hanging="720"/>
        <w:rPr>
          <w:rFonts w:ascii="Palatino" w:eastAsia="Calibri" w:hAnsi="Palatino" w:cs="Times New Roman"/>
        </w:rPr>
      </w:pPr>
      <w:r>
        <w:rPr>
          <w:rFonts w:ascii="Palatino" w:eastAsia="Calibri" w:hAnsi="Palatino" w:cs="Times New Roman"/>
        </w:rPr>
        <w:t>Finkelstein, M. 2010</w:t>
      </w:r>
      <w:r w:rsidR="00D928B1" w:rsidRPr="0019387B">
        <w:rPr>
          <w:rFonts w:ascii="Palatino" w:eastAsia="Calibri" w:hAnsi="Palatino" w:cs="Times New Roman"/>
        </w:rPr>
        <w:t xml:space="preserve">. </w:t>
      </w:r>
      <w:r>
        <w:rPr>
          <w:rFonts w:ascii="Palatino" w:eastAsia="Calibri" w:hAnsi="Palatino" w:cs="Times New Roman"/>
        </w:rPr>
        <w:t>“Diversification in the Academic Workforce: The Case of the US and I</w:t>
      </w:r>
      <w:r w:rsidR="00D928B1" w:rsidRPr="0019387B">
        <w:rPr>
          <w:rFonts w:ascii="Palatino" w:eastAsia="Calibri" w:hAnsi="Palatino" w:cs="Times New Roman"/>
        </w:rPr>
        <w:t>mplications for Europe.</w:t>
      </w:r>
      <w:r>
        <w:rPr>
          <w:rFonts w:ascii="Palatino" w:eastAsia="Calibri" w:hAnsi="Palatino" w:cs="Times New Roman"/>
        </w:rPr>
        <w:t>”</w:t>
      </w:r>
      <w:r w:rsidR="00D928B1" w:rsidRPr="0019387B">
        <w:rPr>
          <w:rFonts w:ascii="Palatino" w:eastAsia="Calibri" w:hAnsi="Palatino" w:cs="Times New Roman"/>
        </w:rPr>
        <w:t xml:space="preserve"> </w:t>
      </w:r>
      <w:r w:rsidR="00D928B1" w:rsidRPr="0019387B">
        <w:rPr>
          <w:rFonts w:ascii="Palatino" w:eastAsia="Calibri" w:hAnsi="Palatino" w:cs="Times New Roman"/>
          <w:i/>
        </w:rPr>
        <w:t>European Review</w:t>
      </w:r>
      <w:r w:rsidR="00D928B1" w:rsidRPr="0019387B">
        <w:rPr>
          <w:rFonts w:ascii="Palatino" w:eastAsia="Calibri" w:hAnsi="Palatino" w:cs="Times New Roman"/>
        </w:rPr>
        <w:t>, 18 (1), S141-S156.</w:t>
      </w:r>
    </w:p>
    <w:p w:rsidR="00D928B1" w:rsidRPr="0019387B" w:rsidRDefault="009A58D7" w:rsidP="00D928B1">
      <w:pPr>
        <w:tabs>
          <w:tab w:val="left" w:pos="360"/>
        </w:tabs>
        <w:ind w:left="720" w:hanging="720"/>
        <w:rPr>
          <w:rFonts w:ascii="Palatino" w:eastAsia="Calibri" w:hAnsi="Palatino" w:cs="Times New Roman"/>
        </w:rPr>
      </w:pPr>
      <w:r>
        <w:rPr>
          <w:rFonts w:ascii="Palatino" w:eastAsia="Calibri" w:hAnsi="Palatino" w:cs="Times New Roman"/>
        </w:rPr>
        <w:t>Hughes, J. C. and J. Mighty, eds. 2010</w:t>
      </w:r>
      <w:r w:rsidR="00D928B1" w:rsidRPr="0019387B">
        <w:rPr>
          <w:rFonts w:ascii="Palatino" w:eastAsia="Calibri" w:hAnsi="Palatino" w:cs="Times New Roman"/>
        </w:rPr>
        <w:t xml:space="preserve">. </w:t>
      </w:r>
      <w:r>
        <w:rPr>
          <w:rFonts w:ascii="Palatino" w:eastAsia="Calibri" w:hAnsi="Palatino" w:cs="Times New Roman"/>
          <w:i/>
        </w:rPr>
        <w:t>Taking Stock: Research on Teaching and Learning in Higher E</w:t>
      </w:r>
      <w:r w:rsidR="00D928B1" w:rsidRPr="0019387B">
        <w:rPr>
          <w:rFonts w:ascii="Palatino" w:eastAsia="Calibri" w:hAnsi="Palatino" w:cs="Times New Roman"/>
          <w:i/>
        </w:rPr>
        <w:t>ducation.</w:t>
      </w:r>
      <w:r w:rsidR="00D928B1" w:rsidRPr="0019387B">
        <w:rPr>
          <w:rFonts w:ascii="Palatino" w:eastAsia="Calibri" w:hAnsi="Palatino" w:cs="Times New Roman"/>
        </w:rPr>
        <w:t xml:space="preserve"> Montreal and Kingston:</w:t>
      </w:r>
      <w:r>
        <w:rPr>
          <w:rFonts w:ascii="Palatino" w:eastAsia="Calibri" w:hAnsi="Palatino" w:cs="Times New Roman"/>
        </w:rPr>
        <w:t xml:space="preserve"> </w:t>
      </w:r>
      <w:r w:rsidR="00D928B1" w:rsidRPr="0019387B">
        <w:rPr>
          <w:rFonts w:ascii="Palatino" w:eastAsia="Calibri" w:hAnsi="Palatino" w:cs="Times New Roman"/>
        </w:rPr>
        <w:t>McGill-Queen’s University Press.</w:t>
      </w:r>
    </w:p>
    <w:p w:rsidR="00D928B1" w:rsidRPr="0019387B" w:rsidRDefault="009A58D7" w:rsidP="00D928B1">
      <w:pPr>
        <w:tabs>
          <w:tab w:val="left" w:pos="360"/>
        </w:tabs>
        <w:ind w:left="720" w:hanging="720"/>
        <w:rPr>
          <w:rFonts w:ascii="Palatino" w:eastAsia="Calibri" w:hAnsi="Palatino" w:cs="Times New Roman"/>
          <w:lang w:val="en-GB"/>
        </w:rPr>
      </w:pPr>
      <w:r>
        <w:rPr>
          <w:rFonts w:ascii="Palatino" w:eastAsia="Calibri" w:hAnsi="Palatino" w:cs="Times New Roman"/>
          <w:lang w:val="en-GB"/>
        </w:rPr>
        <w:t>Jones, G. A. 1996</w:t>
      </w:r>
      <w:r w:rsidR="00D928B1" w:rsidRPr="0019387B">
        <w:rPr>
          <w:rFonts w:ascii="Palatino" w:eastAsia="Calibri" w:hAnsi="Palatino" w:cs="Times New Roman"/>
          <w:lang w:val="en-GB"/>
        </w:rPr>
        <w:t xml:space="preserve">. </w:t>
      </w:r>
      <w:r>
        <w:rPr>
          <w:rFonts w:ascii="Palatino" w:eastAsia="Calibri" w:hAnsi="Palatino" w:cs="Times New Roman"/>
          <w:lang w:val="en-GB"/>
        </w:rPr>
        <w:t>“Governments, Governance, and Canadian U</w:t>
      </w:r>
      <w:r w:rsidR="00D928B1" w:rsidRPr="0019387B">
        <w:rPr>
          <w:rFonts w:ascii="Palatino" w:eastAsia="Calibri" w:hAnsi="Palatino" w:cs="Times New Roman"/>
          <w:lang w:val="en-GB"/>
        </w:rPr>
        <w:t>niversities.</w:t>
      </w:r>
      <w:r>
        <w:rPr>
          <w:rFonts w:ascii="Palatino" w:eastAsia="Calibri" w:hAnsi="Palatino" w:cs="Times New Roman"/>
          <w:lang w:val="en-GB"/>
        </w:rPr>
        <w:t>”</w:t>
      </w:r>
      <w:r w:rsidR="00D928B1" w:rsidRPr="0019387B">
        <w:rPr>
          <w:rFonts w:ascii="Palatino" w:eastAsia="Calibri" w:hAnsi="Palatino" w:cs="Times New Roman"/>
          <w:lang w:val="en-GB"/>
        </w:rPr>
        <w:t xml:space="preserve"> In </w:t>
      </w:r>
      <w:r>
        <w:rPr>
          <w:rFonts w:ascii="Palatino" w:eastAsia="Calibri" w:hAnsi="Palatino" w:cs="Times New Roman"/>
          <w:i/>
          <w:lang w:val="en-GB"/>
        </w:rPr>
        <w:t>Higher Education: Handbook of Theory and R</w:t>
      </w:r>
      <w:r w:rsidR="00D928B1" w:rsidRPr="0019387B">
        <w:rPr>
          <w:rFonts w:ascii="Palatino" w:eastAsia="Calibri" w:hAnsi="Palatino" w:cs="Times New Roman"/>
          <w:i/>
          <w:lang w:val="en-GB"/>
        </w:rPr>
        <w:t>esearch, Volume XI</w:t>
      </w:r>
      <w:r w:rsidR="00D928B1" w:rsidRPr="0019387B">
        <w:rPr>
          <w:rFonts w:ascii="Palatino" w:eastAsia="Calibri" w:hAnsi="Palatino" w:cs="Times New Roman"/>
          <w:lang w:val="en-GB"/>
        </w:rPr>
        <w:t xml:space="preserve"> </w:t>
      </w:r>
      <w:r>
        <w:rPr>
          <w:rFonts w:ascii="Palatino" w:eastAsia="Calibri" w:hAnsi="Palatino" w:cs="Times New Roman"/>
          <w:lang w:val="en-GB"/>
        </w:rPr>
        <w:t>edited by John C. Smart</w:t>
      </w:r>
      <w:r w:rsidRPr="0019387B">
        <w:rPr>
          <w:rFonts w:ascii="Palatino" w:eastAsia="Calibri" w:hAnsi="Palatino" w:cs="Times New Roman"/>
          <w:lang w:val="en-GB"/>
        </w:rPr>
        <w:t xml:space="preserve">, </w:t>
      </w:r>
      <w:r>
        <w:rPr>
          <w:rFonts w:ascii="Palatino" w:eastAsia="Calibri" w:hAnsi="Palatino" w:cs="Times New Roman"/>
          <w:lang w:val="en-GB"/>
        </w:rPr>
        <w:t>337-371. New York</w:t>
      </w:r>
      <w:r w:rsidR="00D928B1" w:rsidRPr="0019387B">
        <w:rPr>
          <w:rFonts w:ascii="Palatino" w:eastAsia="Calibri" w:hAnsi="Palatino" w:cs="Times New Roman"/>
          <w:lang w:val="en-GB"/>
        </w:rPr>
        <w:t>: Agathon Press.</w:t>
      </w:r>
    </w:p>
    <w:p w:rsidR="00D928B1" w:rsidRDefault="009A58D7" w:rsidP="00D928B1">
      <w:pPr>
        <w:tabs>
          <w:tab w:val="left" w:pos="360"/>
        </w:tabs>
        <w:ind w:left="720" w:hanging="720"/>
        <w:rPr>
          <w:rFonts w:ascii="Palatino" w:eastAsia="Calibri" w:hAnsi="Palatino" w:cs="Times New Roman"/>
        </w:rPr>
      </w:pPr>
      <w:r>
        <w:rPr>
          <w:rFonts w:ascii="Palatino" w:eastAsia="Calibri" w:hAnsi="Palatino" w:cs="Times New Roman"/>
        </w:rPr>
        <w:t>Jones, G. A. 1997</w:t>
      </w:r>
      <w:r w:rsidR="00432334">
        <w:rPr>
          <w:rFonts w:ascii="Palatino" w:eastAsia="Calibri" w:hAnsi="Palatino" w:cs="Times New Roman"/>
        </w:rPr>
        <w:t>a</w:t>
      </w:r>
      <w:r>
        <w:rPr>
          <w:rFonts w:ascii="Palatino" w:eastAsia="Calibri" w:hAnsi="Palatino" w:cs="Times New Roman"/>
        </w:rPr>
        <w:t>. “Research on Higher Education in a Decentralized Higher Education System: The C</w:t>
      </w:r>
      <w:r w:rsidR="00D928B1" w:rsidRPr="0019387B">
        <w:rPr>
          <w:rFonts w:ascii="Palatino" w:eastAsia="Calibri" w:hAnsi="Palatino" w:cs="Times New Roman"/>
        </w:rPr>
        <w:t>ase of Canada.</w:t>
      </w:r>
      <w:r>
        <w:rPr>
          <w:rFonts w:ascii="Palatino" w:eastAsia="Calibri" w:hAnsi="Palatino" w:cs="Times New Roman"/>
        </w:rPr>
        <w:t>”</w:t>
      </w:r>
      <w:r w:rsidR="00D928B1" w:rsidRPr="0019387B">
        <w:rPr>
          <w:rFonts w:ascii="Palatino" w:eastAsia="Calibri" w:hAnsi="Palatino" w:cs="Times New Roman"/>
        </w:rPr>
        <w:t xml:space="preserve"> In </w:t>
      </w:r>
      <w:r>
        <w:rPr>
          <w:rFonts w:ascii="Palatino" w:eastAsia="Calibri" w:hAnsi="Palatino" w:cs="Times New Roman"/>
          <w:i/>
        </w:rPr>
        <w:t>Higher Education Research at the Turn of the Century: Structures, Issues and T</w:t>
      </w:r>
      <w:r w:rsidR="00D928B1" w:rsidRPr="0019387B">
        <w:rPr>
          <w:rFonts w:ascii="Palatino" w:eastAsia="Calibri" w:hAnsi="Palatino" w:cs="Times New Roman"/>
          <w:i/>
        </w:rPr>
        <w:t>rends</w:t>
      </w:r>
      <w:r w:rsidR="00D928B1" w:rsidRPr="0019387B">
        <w:rPr>
          <w:rFonts w:ascii="Palatino" w:eastAsia="Calibri" w:hAnsi="Palatino" w:cs="Times New Roman"/>
        </w:rPr>
        <w:t xml:space="preserve"> </w:t>
      </w:r>
      <w:r>
        <w:rPr>
          <w:rFonts w:ascii="Palatino" w:eastAsia="Calibri" w:hAnsi="Palatino" w:cs="Times New Roman"/>
        </w:rPr>
        <w:t xml:space="preserve">edited by J. </w:t>
      </w:r>
      <w:proofErr w:type="spellStart"/>
      <w:r>
        <w:rPr>
          <w:rFonts w:ascii="Palatino" w:eastAsia="Calibri" w:hAnsi="Palatino" w:cs="Times New Roman"/>
        </w:rPr>
        <w:t>Sadlak</w:t>
      </w:r>
      <w:proofErr w:type="spellEnd"/>
      <w:r>
        <w:rPr>
          <w:rFonts w:ascii="Palatino" w:eastAsia="Calibri" w:hAnsi="Palatino" w:cs="Times New Roman"/>
        </w:rPr>
        <w:t xml:space="preserve"> and P. G. </w:t>
      </w:r>
      <w:proofErr w:type="spellStart"/>
      <w:r>
        <w:rPr>
          <w:rFonts w:ascii="Palatino" w:eastAsia="Calibri" w:hAnsi="Palatino" w:cs="Times New Roman"/>
        </w:rPr>
        <w:t>Altbach</w:t>
      </w:r>
      <w:proofErr w:type="spellEnd"/>
      <w:r w:rsidRPr="0019387B">
        <w:rPr>
          <w:rFonts w:ascii="Palatino" w:eastAsia="Calibri" w:hAnsi="Palatino" w:cs="Times New Roman"/>
        </w:rPr>
        <w:t xml:space="preserve">, </w:t>
      </w:r>
      <w:r>
        <w:rPr>
          <w:rFonts w:ascii="Palatino" w:eastAsia="Calibri" w:hAnsi="Palatino" w:cs="Times New Roman"/>
        </w:rPr>
        <w:t>189-208</w:t>
      </w:r>
      <w:r w:rsidR="00D928B1" w:rsidRPr="0019387B">
        <w:rPr>
          <w:rFonts w:ascii="Palatino" w:eastAsia="Calibri" w:hAnsi="Palatino" w:cs="Times New Roman"/>
        </w:rPr>
        <w:t>.  New York: Garland Publishing.</w:t>
      </w:r>
    </w:p>
    <w:p w:rsidR="00432334" w:rsidRPr="0019387B" w:rsidRDefault="00432334" w:rsidP="00D928B1">
      <w:pPr>
        <w:tabs>
          <w:tab w:val="left" w:pos="360"/>
        </w:tabs>
        <w:ind w:left="720" w:hanging="720"/>
        <w:rPr>
          <w:rFonts w:ascii="Palatino" w:eastAsia="Calibri" w:hAnsi="Palatino" w:cs="Times New Roman"/>
        </w:rPr>
      </w:pPr>
      <w:r>
        <w:rPr>
          <w:rFonts w:ascii="Palatino" w:eastAsia="Calibri" w:hAnsi="Palatino" w:cs="Times New Roman"/>
        </w:rPr>
        <w:t xml:space="preserve">Jones, G. A. ed. 1997b. </w:t>
      </w:r>
      <w:r w:rsidRPr="00432334">
        <w:rPr>
          <w:rFonts w:ascii="Palatino" w:eastAsia="Calibri" w:hAnsi="Palatino" w:cs="Times New Roman"/>
          <w:i/>
        </w:rPr>
        <w:t>Higher Education in Canada: Different Systems, Different Perspectives.</w:t>
      </w:r>
      <w:r>
        <w:rPr>
          <w:rFonts w:ascii="Palatino" w:eastAsia="Calibri" w:hAnsi="Palatino" w:cs="Times New Roman"/>
        </w:rPr>
        <w:t xml:space="preserve"> New York: Garland.</w:t>
      </w:r>
    </w:p>
    <w:p w:rsidR="00D928B1" w:rsidRPr="0019387B" w:rsidRDefault="00CA44ED" w:rsidP="00D928B1">
      <w:pPr>
        <w:tabs>
          <w:tab w:val="left" w:pos="360"/>
        </w:tabs>
        <w:ind w:left="720" w:hanging="720"/>
        <w:rPr>
          <w:rFonts w:ascii="Palatino" w:eastAsia="Calibri" w:hAnsi="Palatino" w:cs="Times New Roman"/>
        </w:rPr>
      </w:pPr>
      <w:r>
        <w:rPr>
          <w:rFonts w:ascii="Palatino" w:eastAsia="Calibri" w:hAnsi="Palatino" w:cs="Times New Roman"/>
        </w:rPr>
        <w:t>Jones, G. A. 2000.  “Higher Education Research and P</w:t>
      </w:r>
      <w:r w:rsidR="00D928B1" w:rsidRPr="0019387B">
        <w:rPr>
          <w:rFonts w:ascii="Palatino" w:eastAsia="Calibri" w:hAnsi="Palatino" w:cs="Times New Roman"/>
        </w:rPr>
        <w:t>olicy in Canada.</w:t>
      </w:r>
      <w:r>
        <w:rPr>
          <w:rFonts w:ascii="Palatino" w:eastAsia="Calibri" w:hAnsi="Palatino" w:cs="Times New Roman"/>
        </w:rPr>
        <w:t>”</w:t>
      </w:r>
      <w:r w:rsidR="00D928B1" w:rsidRPr="0019387B">
        <w:rPr>
          <w:rFonts w:ascii="Palatino" w:eastAsia="Calibri" w:hAnsi="Palatino" w:cs="Times New Roman"/>
        </w:rPr>
        <w:t xml:space="preserve"> In </w:t>
      </w:r>
      <w:r>
        <w:rPr>
          <w:rFonts w:ascii="Palatino" w:eastAsia="Calibri" w:hAnsi="Palatino" w:cs="Times New Roman"/>
          <w:i/>
        </w:rPr>
        <w:t>Higher Education Research: Its Relationship to Policy and P</w:t>
      </w:r>
      <w:r w:rsidR="00D928B1" w:rsidRPr="0019387B">
        <w:rPr>
          <w:rFonts w:ascii="Palatino" w:eastAsia="Calibri" w:hAnsi="Palatino" w:cs="Times New Roman"/>
          <w:i/>
        </w:rPr>
        <w:t>ractice</w:t>
      </w:r>
      <w:r w:rsidR="00D928B1" w:rsidRPr="0019387B">
        <w:rPr>
          <w:rFonts w:ascii="Palatino" w:eastAsia="Calibri" w:hAnsi="Palatino" w:cs="Times New Roman"/>
        </w:rPr>
        <w:t xml:space="preserve"> </w:t>
      </w:r>
      <w:r>
        <w:rPr>
          <w:rFonts w:ascii="Palatino" w:eastAsia="Calibri" w:hAnsi="Palatino" w:cs="Times New Roman"/>
        </w:rPr>
        <w:t xml:space="preserve">edited by U. </w:t>
      </w:r>
      <w:proofErr w:type="spellStart"/>
      <w:r>
        <w:rPr>
          <w:rFonts w:ascii="Palatino" w:eastAsia="Calibri" w:hAnsi="Palatino" w:cs="Times New Roman"/>
        </w:rPr>
        <w:t>Teichler</w:t>
      </w:r>
      <w:proofErr w:type="spellEnd"/>
      <w:r>
        <w:rPr>
          <w:rFonts w:ascii="Palatino" w:eastAsia="Calibri" w:hAnsi="Palatino" w:cs="Times New Roman"/>
        </w:rPr>
        <w:t xml:space="preserve"> and J. </w:t>
      </w:r>
      <w:proofErr w:type="spellStart"/>
      <w:r>
        <w:rPr>
          <w:rFonts w:ascii="Palatino" w:eastAsia="Calibri" w:hAnsi="Palatino" w:cs="Times New Roman"/>
        </w:rPr>
        <w:t>Sadlak</w:t>
      </w:r>
      <w:proofErr w:type="spellEnd"/>
      <w:r w:rsidRPr="0019387B">
        <w:rPr>
          <w:rFonts w:ascii="Palatino" w:eastAsia="Calibri" w:hAnsi="Palatino" w:cs="Times New Roman"/>
        </w:rPr>
        <w:t xml:space="preserve">, </w:t>
      </w:r>
      <w:r w:rsidR="00D928B1" w:rsidRPr="0019387B">
        <w:rPr>
          <w:rFonts w:ascii="Palatino" w:eastAsia="Calibri" w:hAnsi="Palatino" w:cs="Times New Roman"/>
        </w:rPr>
        <w:t>71-80. Oxford: IAU Press/Pergamon.</w:t>
      </w:r>
    </w:p>
    <w:p w:rsidR="00D928B1" w:rsidRPr="0019387B" w:rsidRDefault="000551D4" w:rsidP="00D928B1">
      <w:pPr>
        <w:tabs>
          <w:tab w:val="left" w:pos="360"/>
        </w:tabs>
        <w:ind w:left="720" w:hanging="720"/>
        <w:rPr>
          <w:rFonts w:ascii="Palatino" w:eastAsia="Calibri" w:hAnsi="Palatino" w:cs="Times New Roman"/>
        </w:rPr>
      </w:pPr>
      <w:r>
        <w:rPr>
          <w:rFonts w:ascii="Palatino" w:eastAsia="Calibri" w:hAnsi="Palatino" w:cs="Times New Roman"/>
        </w:rPr>
        <w:lastRenderedPageBreak/>
        <w:t>Jones, G. A. 2004. “Ontario Higher Education Reform, 1995-2003: From Modest Modifications to Policy R</w:t>
      </w:r>
      <w:r w:rsidR="00D928B1" w:rsidRPr="0019387B">
        <w:rPr>
          <w:rFonts w:ascii="Palatino" w:eastAsia="Calibri" w:hAnsi="Palatino" w:cs="Times New Roman"/>
        </w:rPr>
        <w:t>eform.</w:t>
      </w:r>
      <w:r>
        <w:rPr>
          <w:rFonts w:ascii="Palatino" w:eastAsia="Calibri" w:hAnsi="Palatino" w:cs="Times New Roman"/>
        </w:rPr>
        <w:t>”</w:t>
      </w:r>
      <w:r w:rsidR="00D928B1" w:rsidRPr="0019387B">
        <w:rPr>
          <w:rFonts w:ascii="Palatino" w:eastAsia="Calibri" w:hAnsi="Palatino" w:cs="Times New Roman"/>
        </w:rPr>
        <w:t xml:space="preserve"> </w:t>
      </w:r>
      <w:r w:rsidR="00D928B1" w:rsidRPr="0019387B">
        <w:rPr>
          <w:rFonts w:ascii="Palatino" w:eastAsia="Calibri" w:hAnsi="Palatino" w:cs="Times New Roman"/>
          <w:i/>
        </w:rPr>
        <w:t>Canadian Journal of Higher Education</w:t>
      </w:r>
      <w:r w:rsidR="00D928B1" w:rsidRPr="0019387B">
        <w:rPr>
          <w:rFonts w:ascii="Palatino" w:eastAsia="Calibri" w:hAnsi="Palatino" w:cs="Times New Roman"/>
        </w:rPr>
        <w:t xml:space="preserve"> 34(3), 39-54.</w:t>
      </w:r>
    </w:p>
    <w:p w:rsidR="00D928B1" w:rsidRPr="0019387B" w:rsidRDefault="00F67C94" w:rsidP="00D928B1">
      <w:pPr>
        <w:tabs>
          <w:tab w:val="left" w:pos="360"/>
        </w:tabs>
        <w:ind w:left="720" w:hanging="720"/>
        <w:rPr>
          <w:rFonts w:ascii="Palatino" w:eastAsia="Calibri" w:hAnsi="Palatino" w:cs="Times New Roman"/>
          <w:lang w:val="en-GB"/>
        </w:rPr>
      </w:pPr>
      <w:r>
        <w:rPr>
          <w:rFonts w:ascii="Palatino" w:eastAsia="Calibri" w:hAnsi="Palatino" w:cs="Times New Roman"/>
          <w:lang w:val="en-GB"/>
        </w:rPr>
        <w:t>Jones, Glen A. 2009</w:t>
      </w:r>
      <w:r w:rsidR="00D928B1" w:rsidRPr="0019387B">
        <w:rPr>
          <w:rFonts w:ascii="Palatino" w:eastAsia="Calibri" w:hAnsi="Palatino" w:cs="Times New Roman"/>
          <w:lang w:val="en-GB"/>
        </w:rPr>
        <w:t xml:space="preserve">. </w:t>
      </w:r>
      <w:r>
        <w:rPr>
          <w:rFonts w:ascii="Palatino" w:eastAsia="Calibri" w:hAnsi="Palatino" w:cs="Times New Roman"/>
          <w:lang w:val="en-GB"/>
        </w:rPr>
        <w:t>“Sectors, Institutional Types, and the C</w:t>
      </w:r>
      <w:r w:rsidR="00D928B1" w:rsidRPr="0019387B">
        <w:rPr>
          <w:rFonts w:ascii="Palatino" w:eastAsia="Calibri" w:hAnsi="Palatino" w:cs="Times New Roman"/>
          <w:lang w:val="en-GB"/>
        </w:rPr>
        <w:t>hal</w:t>
      </w:r>
      <w:r>
        <w:rPr>
          <w:rFonts w:ascii="Palatino" w:eastAsia="Calibri" w:hAnsi="Palatino" w:cs="Times New Roman"/>
          <w:lang w:val="en-GB"/>
        </w:rPr>
        <w:t>lenges of S</w:t>
      </w:r>
      <w:r w:rsidR="00D928B1" w:rsidRPr="0019387B">
        <w:rPr>
          <w:rFonts w:ascii="Palatino" w:eastAsia="Calibri" w:hAnsi="Palatino" w:cs="Times New Roman"/>
          <w:lang w:val="en-GB"/>
        </w:rPr>
        <w:t>hifting Categories: A Canadian Commentary.</w:t>
      </w:r>
      <w:r>
        <w:rPr>
          <w:rFonts w:ascii="Palatino" w:eastAsia="Calibri" w:hAnsi="Palatino" w:cs="Times New Roman"/>
          <w:lang w:val="en-GB"/>
        </w:rPr>
        <w:t>”</w:t>
      </w:r>
      <w:r w:rsidR="00D928B1" w:rsidRPr="0019387B">
        <w:rPr>
          <w:rFonts w:ascii="Palatino" w:eastAsia="Calibri" w:hAnsi="Palatino" w:cs="Times New Roman"/>
          <w:lang w:val="en-GB"/>
        </w:rPr>
        <w:t xml:space="preserve"> </w:t>
      </w:r>
      <w:r w:rsidR="00D928B1" w:rsidRPr="0019387B">
        <w:rPr>
          <w:rFonts w:ascii="Palatino" w:eastAsia="Calibri" w:hAnsi="Palatino" w:cs="Times New Roman"/>
          <w:i/>
          <w:lang w:val="en-GB"/>
        </w:rPr>
        <w:t>Higher Education Quarterly</w:t>
      </w:r>
      <w:r w:rsidR="00D928B1" w:rsidRPr="0019387B">
        <w:rPr>
          <w:rFonts w:ascii="Palatino" w:eastAsia="Calibri" w:hAnsi="Palatino" w:cs="Times New Roman"/>
          <w:lang w:val="en-GB"/>
        </w:rPr>
        <w:t xml:space="preserve"> 63(4), 371-383.</w:t>
      </w:r>
    </w:p>
    <w:p w:rsidR="00D928B1" w:rsidRPr="0019387B" w:rsidRDefault="00FD7CD4" w:rsidP="00D928B1">
      <w:pPr>
        <w:tabs>
          <w:tab w:val="left" w:pos="360"/>
        </w:tabs>
        <w:ind w:left="720" w:hanging="720"/>
        <w:rPr>
          <w:rFonts w:ascii="Palatino" w:eastAsia="Calibri" w:hAnsi="Palatino" w:cs="Times New Roman"/>
        </w:rPr>
      </w:pPr>
      <w:r>
        <w:rPr>
          <w:rFonts w:ascii="Palatino" w:eastAsia="Calibri" w:hAnsi="Palatino" w:cs="Times New Roman"/>
        </w:rPr>
        <w:t>Jones, G. A. 2012. “Reflections on the Evolution of Higher Education as a Field of S</w:t>
      </w:r>
      <w:r w:rsidR="00D928B1" w:rsidRPr="0019387B">
        <w:rPr>
          <w:rFonts w:ascii="Palatino" w:eastAsia="Calibri" w:hAnsi="Palatino" w:cs="Times New Roman"/>
        </w:rPr>
        <w:t>tudy in Canada.</w:t>
      </w:r>
      <w:r>
        <w:rPr>
          <w:rFonts w:ascii="Palatino" w:eastAsia="Calibri" w:hAnsi="Palatino" w:cs="Times New Roman"/>
        </w:rPr>
        <w:t>”</w:t>
      </w:r>
      <w:r w:rsidR="00D928B1" w:rsidRPr="0019387B">
        <w:rPr>
          <w:rFonts w:ascii="Palatino" w:eastAsia="Calibri" w:hAnsi="Palatino" w:cs="Times New Roman"/>
        </w:rPr>
        <w:t xml:space="preserve"> </w:t>
      </w:r>
      <w:r w:rsidR="00D928B1" w:rsidRPr="0019387B">
        <w:rPr>
          <w:rFonts w:ascii="Palatino" w:eastAsia="Calibri" w:hAnsi="Palatino" w:cs="Times New Roman"/>
          <w:i/>
        </w:rPr>
        <w:t>Higher Education Research &amp; Development</w:t>
      </w:r>
      <w:r w:rsidR="00D928B1" w:rsidRPr="0019387B">
        <w:rPr>
          <w:rFonts w:ascii="Palatino" w:eastAsia="Calibri" w:hAnsi="Palatino" w:cs="Times New Roman"/>
        </w:rPr>
        <w:t xml:space="preserve"> 31(5), 711-722.</w:t>
      </w:r>
    </w:p>
    <w:p w:rsidR="00D928B1" w:rsidRPr="0019387B" w:rsidRDefault="00D928B1" w:rsidP="00D928B1">
      <w:pPr>
        <w:tabs>
          <w:tab w:val="left" w:pos="360"/>
        </w:tabs>
        <w:ind w:left="720" w:hanging="720"/>
        <w:rPr>
          <w:rFonts w:ascii="Palatino" w:eastAsia="Calibri" w:hAnsi="Palatino" w:cs="Times New Roman"/>
        </w:rPr>
      </w:pPr>
      <w:r w:rsidRPr="0019387B">
        <w:rPr>
          <w:rFonts w:ascii="Palatino" w:eastAsia="Calibri" w:hAnsi="Palatino" w:cs="Times New Roman"/>
        </w:rPr>
        <w:t>Jo</w:t>
      </w:r>
      <w:r w:rsidR="00FD7CD4">
        <w:rPr>
          <w:rFonts w:ascii="Palatino" w:eastAsia="Calibri" w:hAnsi="Palatino" w:cs="Times New Roman"/>
        </w:rPr>
        <w:t>nes, G. A. 2013. “The Horizontal and Vertical Fragmentation of Academic Work and the Challenge for Academic Governance and L</w:t>
      </w:r>
      <w:r w:rsidRPr="0019387B">
        <w:rPr>
          <w:rFonts w:ascii="Palatino" w:eastAsia="Calibri" w:hAnsi="Palatino" w:cs="Times New Roman"/>
        </w:rPr>
        <w:t>eadership</w:t>
      </w:r>
      <w:r w:rsidRPr="0019387B">
        <w:rPr>
          <w:rFonts w:ascii="Palatino" w:eastAsia="Calibri" w:hAnsi="Palatino" w:cs="Times New Roman"/>
          <w:b/>
        </w:rPr>
        <w:t>.</w:t>
      </w:r>
      <w:r w:rsidR="00FD7CD4">
        <w:rPr>
          <w:rFonts w:ascii="Palatino" w:eastAsia="Calibri" w:hAnsi="Palatino" w:cs="Times New Roman"/>
          <w:b/>
        </w:rPr>
        <w:t>”</w:t>
      </w:r>
      <w:r w:rsidRPr="0019387B">
        <w:rPr>
          <w:rFonts w:ascii="Palatino" w:eastAsia="Calibri" w:hAnsi="Palatino" w:cs="Times New Roman"/>
          <w:b/>
        </w:rPr>
        <w:t xml:space="preserve"> </w:t>
      </w:r>
      <w:r w:rsidRPr="0019387B">
        <w:rPr>
          <w:rFonts w:ascii="Palatino" w:eastAsia="Calibri" w:hAnsi="Palatino" w:cs="Times New Roman"/>
          <w:i/>
        </w:rPr>
        <w:t>Asia Pacific Education Review</w:t>
      </w:r>
      <w:r w:rsidRPr="0019387B">
        <w:rPr>
          <w:rFonts w:ascii="Palatino" w:eastAsia="Calibri" w:hAnsi="Palatino" w:cs="Times New Roman"/>
        </w:rPr>
        <w:t>, 14(1), 75-83.</w:t>
      </w:r>
    </w:p>
    <w:p w:rsidR="00D928B1" w:rsidRPr="0019387B" w:rsidRDefault="00D928B1" w:rsidP="00D928B1">
      <w:pPr>
        <w:tabs>
          <w:tab w:val="left" w:pos="360"/>
        </w:tabs>
        <w:ind w:left="720" w:hanging="720"/>
        <w:rPr>
          <w:rFonts w:ascii="Palatino" w:eastAsia="Calibri" w:hAnsi="Palatino" w:cs="Times New Roman"/>
          <w:lang w:val="en-GB"/>
        </w:rPr>
      </w:pPr>
      <w:r w:rsidRPr="0019387B">
        <w:rPr>
          <w:rFonts w:ascii="Palatino" w:eastAsia="Calibri" w:hAnsi="Palatino" w:cs="Times New Roman"/>
          <w:lang w:val="en-GB"/>
        </w:rPr>
        <w:t>Jones, G. A., Shanahan</w:t>
      </w:r>
      <w:r w:rsidR="00FD7CD4">
        <w:rPr>
          <w:rFonts w:ascii="Palatino" w:eastAsia="Calibri" w:hAnsi="Palatino" w:cs="Times New Roman"/>
          <w:lang w:val="en-GB"/>
        </w:rPr>
        <w:t xml:space="preserve">, T., </w:t>
      </w:r>
      <w:proofErr w:type="spellStart"/>
      <w:r w:rsidR="00FD7CD4">
        <w:rPr>
          <w:rFonts w:ascii="Palatino" w:eastAsia="Calibri" w:hAnsi="Palatino" w:cs="Times New Roman"/>
          <w:lang w:val="en-GB"/>
        </w:rPr>
        <w:t>Padure</w:t>
      </w:r>
      <w:proofErr w:type="spellEnd"/>
      <w:r w:rsidR="00FD7CD4">
        <w:rPr>
          <w:rFonts w:ascii="Palatino" w:eastAsia="Calibri" w:hAnsi="Palatino" w:cs="Times New Roman"/>
          <w:lang w:val="en-GB"/>
        </w:rPr>
        <w:t>, L., Lamoureux, S.</w:t>
      </w:r>
      <w:r w:rsidRPr="0019387B">
        <w:rPr>
          <w:rFonts w:ascii="Palatino" w:eastAsia="Calibri" w:hAnsi="Palatino" w:cs="Times New Roman"/>
          <w:lang w:val="en-GB"/>
        </w:rPr>
        <w:t xml:space="preserve"> and </w:t>
      </w:r>
      <w:r w:rsidR="00FD7CD4">
        <w:rPr>
          <w:rFonts w:ascii="Palatino" w:eastAsia="Calibri" w:hAnsi="Palatino" w:cs="Times New Roman"/>
          <w:lang w:val="en-GB"/>
        </w:rPr>
        <w:t xml:space="preserve">E. Gregor </w:t>
      </w:r>
      <w:r w:rsidRPr="0019387B">
        <w:rPr>
          <w:rFonts w:ascii="Palatino" w:eastAsia="Calibri" w:hAnsi="Palatino" w:cs="Times New Roman"/>
          <w:lang w:val="en-GB"/>
        </w:rPr>
        <w:t xml:space="preserve">2008. </w:t>
      </w:r>
      <w:r w:rsidR="00FD7CD4">
        <w:rPr>
          <w:rFonts w:ascii="Palatino" w:eastAsia="Calibri" w:hAnsi="Palatino" w:cs="Times New Roman"/>
          <w:i/>
          <w:lang w:val="en-GB"/>
        </w:rPr>
        <w:t>Marshalling Resources for Change: System-Level Initiatives to Increase Access and S</w:t>
      </w:r>
      <w:r w:rsidRPr="0019387B">
        <w:rPr>
          <w:rFonts w:ascii="Palatino" w:eastAsia="Calibri" w:hAnsi="Palatino" w:cs="Times New Roman"/>
          <w:i/>
          <w:lang w:val="en-GB"/>
        </w:rPr>
        <w:t>uccess.</w:t>
      </w:r>
      <w:r w:rsidRPr="0019387B">
        <w:rPr>
          <w:rFonts w:ascii="Palatino" w:eastAsia="Calibri" w:hAnsi="Palatino" w:cs="Times New Roman"/>
          <w:lang w:val="en-GB"/>
        </w:rPr>
        <w:t xml:space="preserve"> Montreal: Canada Millennium Scholarship Foundation. </w:t>
      </w:r>
    </w:p>
    <w:p w:rsidR="00D928B1" w:rsidRPr="0019387B" w:rsidRDefault="00D928B1" w:rsidP="00D928B1">
      <w:pPr>
        <w:tabs>
          <w:tab w:val="left" w:pos="360"/>
        </w:tabs>
        <w:ind w:left="720" w:hanging="720"/>
        <w:rPr>
          <w:rFonts w:ascii="Palatino" w:eastAsia="Calibri" w:hAnsi="Palatino" w:cs="Times New Roman"/>
        </w:rPr>
      </w:pPr>
      <w:r w:rsidRPr="0019387B">
        <w:rPr>
          <w:rFonts w:ascii="Palatino" w:eastAsia="Calibri" w:hAnsi="Palatino" w:cs="Times New Roman"/>
          <w:lang w:val="en-GB"/>
        </w:rPr>
        <w:t>Jones, G. A. and</w:t>
      </w:r>
      <w:r w:rsidR="00FD7CD4">
        <w:rPr>
          <w:rFonts w:ascii="Palatino" w:eastAsia="Calibri" w:hAnsi="Palatino" w:cs="Times New Roman"/>
          <w:lang w:val="en-GB"/>
        </w:rPr>
        <w:t xml:space="preserve"> M. L. Skolnik 2009</w:t>
      </w:r>
      <w:r w:rsidRPr="0019387B">
        <w:rPr>
          <w:rFonts w:ascii="Palatino" w:eastAsia="Calibri" w:hAnsi="Palatino" w:cs="Times New Roman"/>
          <w:lang w:val="en-GB"/>
        </w:rPr>
        <w:t xml:space="preserve">. </w:t>
      </w:r>
      <w:r w:rsidR="00FD7CD4">
        <w:rPr>
          <w:rFonts w:ascii="Palatino" w:eastAsia="Calibri" w:hAnsi="Palatino" w:cs="Times New Roman"/>
          <w:i/>
        </w:rPr>
        <w:t>Degrees of Opportunity: Broadening Student Access by Increasing I</w:t>
      </w:r>
      <w:r w:rsidRPr="0019387B">
        <w:rPr>
          <w:rFonts w:ascii="Palatino" w:eastAsia="Calibri" w:hAnsi="Palatino" w:cs="Times New Roman"/>
          <w:i/>
        </w:rPr>
        <w:t>nsti</w:t>
      </w:r>
      <w:r w:rsidR="00FD7CD4">
        <w:rPr>
          <w:rFonts w:ascii="Palatino" w:eastAsia="Calibri" w:hAnsi="Palatino" w:cs="Times New Roman"/>
          <w:i/>
        </w:rPr>
        <w:t>tutional D</w:t>
      </w:r>
      <w:r w:rsidRPr="0019387B">
        <w:rPr>
          <w:rFonts w:ascii="Palatino" w:eastAsia="Calibri" w:hAnsi="Palatino" w:cs="Times New Roman"/>
          <w:i/>
        </w:rPr>
        <w:t>ifferentiation in Ontario higher education</w:t>
      </w:r>
      <w:r w:rsidRPr="0019387B">
        <w:rPr>
          <w:rFonts w:ascii="Palatino" w:eastAsia="Calibri" w:hAnsi="Palatino" w:cs="Times New Roman"/>
        </w:rPr>
        <w:t>. Toronto: Higher Education Quality Council of Ontario. Available on-line at: http://www.heqco.ca/SiteCollectionDocuments/Degrees%20of%20Opportunity.pdf</w:t>
      </w:r>
    </w:p>
    <w:p w:rsidR="00D928B1" w:rsidRPr="0019387B" w:rsidRDefault="00FD7CD4" w:rsidP="00D928B1">
      <w:pPr>
        <w:tabs>
          <w:tab w:val="left" w:pos="360"/>
        </w:tabs>
        <w:ind w:left="720" w:hanging="720"/>
        <w:rPr>
          <w:rFonts w:ascii="Palatino" w:eastAsia="Calibri" w:hAnsi="Palatino" w:cs="Times New Roman"/>
          <w:lang w:val="en-GB"/>
        </w:rPr>
      </w:pPr>
      <w:r>
        <w:rPr>
          <w:rFonts w:ascii="Palatino" w:eastAsia="Calibri" w:hAnsi="Palatino" w:cs="Times New Roman"/>
          <w:lang w:val="en-GB"/>
        </w:rPr>
        <w:t xml:space="preserve">Locke, W., Cummings, W. K. and D. Fisher, eds. </w:t>
      </w:r>
      <w:r w:rsidR="00D928B1" w:rsidRPr="0019387B">
        <w:rPr>
          <w:rFonts w:ascii="Palatino" w:eastAsia="Calibri" w:hAnsi="Palatino" w:cs="Times New Roman"/>
          <w:lang w:val="en-GB"/>
        </w:rPr>
        <w:t>20</w:t>
      </w:r>
      <w:r>
        <w:rPr>
          <w:rFonts w:ascii="Palatino" w:eastAsia="Calibri" w:hAnsi="Palatino" w:cs="Times New Roman"/>
          <w:lang w:val="en-GB"/>
        </w:rPr>
        <w:t>11</w:t>
      </w:r>
      <w:r w:rsidR="00D928B1" w:rsidRPr="0019387B">
        <w:rPr>
          <w:rFonts w:ascii="Palatino" w:eastAsia="Calibri" w:hAnsi="Palatino" w:cs="Times New Roman"/>
          <w:lang w:val="en-GB"/>
        </w:rPr>
        <w:t xml:space="preserve">. </w:t>
      </w:r>
      <w:r>
        <w:rPr>
          <w:rFonts w:ascii="Palatino" w:eastAsia="Calibri" w:hAnsi="Palatino" w:cs="Times New Roman"/>
          <w:i/>
          <w:lang w:val="en-GB"/>
        </w:rPr>
        <w:t>Governance and M</w:t>
      </w:r>
      <w:r w:rsidR="00D928B1" w:rsidRPr="0019387B">
        <w:rPr>
          <w:rFonts w:ascii="Palatino" w:eastAsia="Calibri" w:hAnsi="Palatino" w:cs="Times New Roman"/>
          <w:i/>
          <w:lang w:val="en-GB"/>
        </w:rPr>
        <w:t>anagement of</w:t>
      </w:r>
      <w:r w:rsidR="00D928B1" w:rsidRPr="0019387B">
        <w:rPr>
          <w:rFonts w:ascii="Palatino" w:eastAsia="Calibri" w:hAnsi="Palatino" w:cs="Times New Roman"/>
          <w:lang w:val="en-GB"/>
        </w:rPr>
        <w:t xml:space="preserve"> </w:t>
      </w:r>
      <w:r>
        <w:rPr>
          <w:rFonts w:ascii="Palatino" w:eastAsia="Calibri" w:hAnsi="Palatino" w:cs="Times New Roman"/>
          <w:i/>
          <w:lang w:val="en-GB"/>
        </w:rPr>
        <w:t>Higher Education I</w:t>
      </w:r>
      <w:r w:rsidR="00D928B1" w:rsidRPr="0019387B">
        <w:rPr>
          <w:rFonts w:ascii="Palatino" w:eastAsia="Calibri" w:hAnsi="Palatino" w:cs="Times New Roman"/>
          <w:i/>
          <w:lang w:val="en-GB"/>
        </w:rPr>
        <w:t>ns</w:t>
      </w:r>
      <w:r>
        <w:rPr>
          <w:rFonts w:ascii="Palatino" w:eastAsia="Calibri" w:hAnsi="Palatino" w:cs="Times New Roman"/>
          <w:i/>
          <w:lang w:val="en-GB"/>
        </w:rPr>
        <w:t>titutions: Perspectives of the A</w:t>
      </w:r>
      <w:r w:rsidR="00D928B1" w:rsidRPr="0019387B">
        <w:rPr>
          <w:rFonts w:ascii="Palatino" w:eastAsia="Calibri" w:hAnsi="Palatino" w:cs="Times New Roman"/>
          <w:i/>
          <w:lang w:val="en-GB"/>
        </w:rPr>
        <w:t>cademy</w:t>
      </w:r>
      <w:r>
        <w:rPr>
          <w:rFonts w:ascii="Palatino" w:eastAsia="Calibri" w:hAnsi="Palatino" w:cs="Times New Roman"/>
          <w:lang w:val="en-GB"/>
        </w:rPr>
        <w:t xml:space="preserve">. Dordrecht: </w:t>
      </w:r>
      <w:r w:rsidR="00D928B1" w:rsidRPr="0019387B">
        <w:rPr>
          <w:rFonts w:ascii="Palatino" w:eastAsia="Calibri" w:hAnsi="Palatino" w:cs="Times New Roman"/>
          <w:lang w:val="en-GB"/>
        </w:rPr>
        <w:t xml:space="preserve"> Springer. </w:t>
      </w:r>
    </w:p>
    <w:p w:rsidR="00D928B1" w:rsidRPr="0019387B" w:rsidRDefault="00FD7CD4" w:rsidP="00D928B1">
      <w:pPr>
        <w:tabs>
          <w:tab w:val="left" w:pos="360"/>
        </w:tabs>
        <w:ind w:left="720" w:hanging="720"/>
        <w:rPr>
          <w:rFonts w:ascii="Palatino" w:eastAsia="Calibri" w:hAnsi="Palatino" w:cs="Times New Roman"/>
          <w:lang w:val="en-GB"/>
        </w:rPr>
      </w:pPr>
      <w:r>
        <w:rPr>
          <w:rFonts w:ascii="Palatino" w:eastAsia="Calibri" w:hAnsi="Palatino" w:cs="Times New Roman"/>
          <w:lang w:val="en-GB"/>
        </w:rPr>
        <w:t xml:space="preserve">Marshall, D. 2008. </w:t>
      </w:r>
      <w:r w:rsidR="001B4702">
        <w:rPr>
          <w:rFonts w:ascii="Palatino" w:eastAsia="Calibri" w:hAnsi="Palatino" w:cs="Times New Roman"/>
          <w:lang w:val="en-GB"/>
        </w:rPr>
        <w:t>“</w:t>
      </w:r>
      <w:r>
        <w:rPr>
          <w:rFonts w:ascii="Palatino" w:eastAsia="Calibri" w:hAnsi="Palatino" w:cs="Times New Roman"/>
          <w:lang w:val="en-GB"/>
        </w:rPr>
        <w:t>Differentiation by Degrees: System Design and the Changing Undergraduate E</w:t>
      </w:r>
      <w:r w:rsidR="00D928B1" w:rsidRPr="0019387B">
        <w:rPr>
          <w:rFonts w:ascii="Palatino" w:eastAsia="Calibri" w:hAnsi="Palatino" w:cs="Times New Roman"/>
          <w:lang w:val="en-GB"/>
        </w:rPr>
        <w:t>nvironment in Canada.</w:t>
      </w:r>
      <w:r w:rsidR="001B4702">
        <w:rPr>
          <w:rFonts w:ascii="Palatino" w:eastAsia="Calibri" w:hAnsi="Palatino" w:cs="Times New Roman"/>
          <w:lang w:val="en-GB"/>
        </w:rPr>
        <w:t>”</w:t>
      </w:r>
      <w:r w:rsidR="00D928B1" w:rsidRPr="0019387B">
        <w:rPr>
          <w:rFonts w:ascii="Palatino" w:eastAsia="Calibri" w:hAnsi="Palatino" w:cs="Times New Roman"/>
          <w:lang w:val="en-GB"/>
        </w:rPr>
        <w:t xml:space="preserve"> </w:t>
      </w:r>
      <w:r w:rsidR="00D928B1" w:rsidRPr="0019387B">
        <w:rPr>
          <w:rFonts w:ascii="Palatino" w:eastAsia="Calibri" w:hAnsi="Palatino" w:cs="Times New Roman"/>
          <w:i/>
          <w:lang w:val="en-GB"/>
        </w:rPr>
        <w:t>Canadian Journal of Higher Education</w:t>
      </w:r>
      <w:r w:rsidR="00D928B1" w:rsidRPr="0019387B">
        <w:rPr>
          <w:rFonts w:ascii="Palatino" w:eastAsia="Calibri" w:hAnsi="Palatino" w:cs="Times New Roman"/>
          <w:lang w:val="en-GB"/>
        </w:rPr>
        <w:t>, 38(3), 1-20.</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Macfarlane, B. 2011</w:t>
      </w:r>
      <w:r w:rsidR="00D928B1" w:rsidRPr="0019387B">
        <w:rPr>
          <w:rFonts w:ascii="Palatino" w:eastAsia="Calibri" w:hAnsi="Palatino" w:cs="Times New Roman"/>
        </w:rPr>
        <w:t xml:space="preserve">. </w:t>
      </w:r>
      <w:r>
        <w:rPr>
          <w:rFonts w:ascii="Palatino" w:eastAsia="Calibri" w:hAnsi="Palatino" w:cs="Times New Roman"/>
        </w:rPr>
        <w:t>“The Morphing of Academic Practice: Unbundling and the Rise of the Para-A</w:t>
      </w:r>
      <w:r w:rsidR="00D928B1" w:rsidRPr="0019387B">
        <w:rPr>
          <w:rFonts w:ascii="Palatino" w:eastAsia="Calibri" w:hAnsi="Palatino" w:cs="Times New Roman"/>
        </w:rPr>
        <w:t xml:space="preserve">cademic. </w:t>
      </w:r>
      <w:r w:rsidR="00D928B1" w:rsidRPr="0019387B">
        <w:rPr>
          <w:rFonts w:ascii="Palatino" w:eastAsia="Calibri" w:hAnsi="Palatino" w:cs="Times New Roman"/>
          <w:i/>
        </w:rPr>
        <w:t>Higher Education Quarterly</w:t>
      </w:r>
      <w:r w:rsidR="00D928B1" w:rsidRPr="0019387B">
        <w:rPr>
          <w:rFonts w:ascii="Palatino" w:eastAsia="Calibri" w:hAnsi="Palatino" w:cs="Times New Roman"/>
        </w:rPr>
        <w:t>, 65(1), 59-73.</w:t>
      </w:r>
    </w:p>
    <w:p w:rsidR="00D928B1" w:rsidRPr="0019387B" w:rsidRDefault="00BD7AC7" w:rsidP="00D928B1">
      <w:pPr>
        <w:tabs>
          <w:tab w:val="left" w:pos="360"/>
        </w:tabs>
        <w:ind w:left="720" w:hanging="720"/>
        <w:rPr>
          <w:rFonts w:ascii="Palatino" w:eastAsia="Calibri" w:hAnsi="Palatino" w:cs="Times New Roman"/>
          <w:lang w:val="en-GB"/>
        </w:rPr>
      </w:pPr>
      <w:proofErr w:type="spellStart"/>
      <w:r>
        <w:rPr>
          <w:rFonts w:ascii="Palatino" w:eastAsia="Calibri" w:hAnsi="Palatino" w:cs="Times New Roman"/>
          <w:lang w:val="en-GB"/>
        </w:rPr>
        <w:t>Musselin</w:t>
      </w:r>
      <w:proofErr w:type="spellEnd"/>
      <w:r>
        <w:rPr>
          <w:rFonts w:ascii="Palatino" w:eastAsia="Calibri" w:hAnsi="Palatino" w:cs="Times New Roman"/>
          <w:lang w:val="en-GB"/>
        </w:rPr>
        <w:t>, C. 2010</w:t>
      </w:r>
      <w:r w:rsidR="00D928B1" w:rsidRPr="0019387B">
        <w:rPr>
          <w:rFonts w:ascii="Palatino" w:eastAsia="Calibri" w:hAnsi="Palatino" w:cs="Times New Roman"/>
          <w:lang w:val="en-GB"/>
        </w:rPr>
        <w:t xml:space="preserve">. </w:t>
      </w:r>
      <w:r>
        <w:rPr>
          <w:rFonts w:ascii="Palatino" w:eastAsia="Calibri" w:hAnsi="Palatino" w:cs="Times New Roman"/>
          <w:i/>
          <w:lang w:val="en-GB"/>
        </w:rPr>
        <w:t>The M</w:t>
      </w:r>
      <w:r w:rsidR="00D928B1" w:rsidRPr="0019387B">
        <w:rPr>
          <w:rFonts w:ascii="Palatino" w:eastAsia="Calibri" w:hAnsi="Palatino" w:cs="Times New Roman"/>
          <w:i/>
          <w:lang w:val="en-GB"/>
        </w:rPr>
        <w:t>arket f</w:t>
      </w:r>
      <w:r>
        <w:rPr>
          <w:rFonts w:ascii="Palatino" w:eastAsia="Calibri" w:hAnsi="Palatino" w:cs="Times New Roman"/>
          <w:i/>
          <w:lang w:val="en-GB"/>
        </w:rPr>
        <w:t>or A</w:t>
      </w:r>
      <w:r w:rsidR="00D928B1" w:rsidRPr="0019387B">
        <w:rPr>
          <w:rFonts w:ascii="Palatino" w:eastAsia="Calibri" w:hAnsi="Palatino" w:cs="Times New Roman"/>
          <w:i/>
          <w:lang w:val="en-GB"/>
        </w:rPr>
        <w:t>cademics</w:t>
      </w:r>
      <w:r w:rsidR="00D928B1" w:rsidRPr="0019387B">
        <w:rPr>
          <w:rFonts w:ascii="Palatino" w:eastAsia="Calibri" w:hAnsi="Palatino" w:cs="Times New Roman"/>
          <w:lang w:val="en-GB"/>
        </w:rPr>
        <w:t>. London: Routledge.</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OECD 2012</w:t>
      </w:r>
      <w:r w:rsidR="00D928B1" w:rsidRPr="0019387B">
        <w:rPr>
          <w:rFonts w:ascii="Palatino" w:eastAsia="Calibri" w:hAnsi="Palatino" w:cs="Times New Roman"/>
        </w:rPr>
        <w:t xml:space="preserve">. </w:t>
      </w:r>
      <w:r>
        <w:rPr>
          <w:rFonts w:ascii="Palatino" w:eastAsia="Calibri" w:hAnsi="Palatino" w:cs="Times New Roman"/>
          <w:i/>
        </w:rPr>
        <w:t>OECD Economic S</w:t>
      </w:r>
      <w:r w:rsidR="00D928B1" w:rsidRPr="0019387B">
        <w:rPr>
          <w:rFonts w:ascii="Palatino" w:eastAsia="Calibri" w:hAnsi="Palatino" w:cs="Times New Roman"/>
          <w:i/>
        </w:rPr>
        <w:t>urveys: Canada 2012</w:t>
      </w:r>
      <w:r w:rsidR="00D928B1" w:rsidRPr="0019387B">
        <w:rPr>
          <w:rFonts w:ascii="Palatino" w:eastAsia="Calibri" w:hAnsi="Palatino" w:cs="Times New Roman"/>
        </w:rPr>
        <w:t>. Paris: OECD Publishing.</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Rae, B. 2005</w:t>
      </w:r>
      <w:r w:rsidR="00D928B1" w:rsidRPr="0019387B">
        <w:rPr>
          <w:rFonts w:ascii="Palatino" w:eastAsia="Calibri" w:hAnsi="Palatino" w:cs="Times New Roman"/>
        </w:rPr>
        <w:t xml:space="preserve">. </w:t>
      </w:r>
      <w:r>
        <w:rPr>
          <w:rFonts w:ascii="Palatino" w:eastAsia="Calibri" w:hAnsi="Palatino" w:cs="Times New Roman"/>
          <w:i/>
        </w:rPr>
        <w:t>Ontario – A Leader in L</w:t>
      </w:r>
      <w:r w:rsidR="00D928B1" w:rsidRPr="0019387B">
        <w:rPr>
          <w:rFonts w:ascii="Palatino" w:eastAsia="Calibri" w:hAnsi="Palatino" w:cs="Times New Roman"/>
          <w:i/>
        </w:rPr>
        <w:t>earning</w:t>
      </w:r>
      <w:r w:rsidR="00D928B1" w:rsidRPr="0019387B">
        <w:rPr>
          <w:rFonts w:ascii="Palatino" w:eastAsia="Calibri" w:hAnsi="Palatino" w:cs="Times New Roman"/>
        </w:rPr>
        <w:t>. Toronto: Queen’s Printer.</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Rajagopal, I. 2002</w:t>
      </w:r>
      <w:r w:rsidR="00D928B1" w:rsidRPr="0019387B">
        <w:rPr>
          <w:rFonts w:ascii="Palatino" w:eastAsia="Calibri" w:hAnsi="Palatino" w:cs="Times New Roman"/>
        </w:rPr>
        <w:t xml:space="preserve">. </w:t>
      </w:r>
      <w:r>
        <w:rPr>
          <w:rFonts w:ascii="Palatino" w:eastAsia="Calibri" w:hAnsi="Palatino" w:cs="Times New Roman"/>
          <w:i/>
        </w:rPr>
        <w:t>Hidden Academics: Contract Faculty in Canadian U</w:t>
      </w:r>
      <w:r w:rsidR="00D928B1" w:rsidRPr="0019387B">
        <w:rPr>
          <w:rFonts w:ascii="Palatino" w:eastAsia="Calibri" w:hAnsi="Palatino" w:cs="Times New Roman"/>
          <w:i/>
        </w:rPr>
        <w:t>niversities</w:t>
      </w:r>
      <w:r w:rsidR="00D928B1" w:rsidRPr="0019387B">
        <w:rPr>
          <w:rFonts w:ascii="Palatino" w:eastAsia="Calibri" w:hAnsi="Palatino" w:cs="Times New Roman"/>
        </w:rPr>
        <w:t>. Toronto: University of Toronto Press.</w:t>
      </w:r>
    </w:p>
    <w:p w:rsidR="00D928B1" w:rsidRPr="0019387B" w:rsidRDefault="00BD7AC7" w:rsidP="00D928B1">
      <w:pPr>
        <w:tabs>
          <w:tab w:val="left" w:pos="360"/>
        </w:tabs>
        <w:ind w:left="720" w:hanging="720"/>
        <w:rPr>
          <w:rFonts w:ascii="Palatino" w:eastAsia="Calibri" w:hAnsi="Palatino" w:cs="Times New Roman"/>
        </w:rPr>
      </w:pPr>
      <w:proofErr w:type="spellStart"/>
      <w:r>
        <w:rPr>
          <w:rFonts w:ascii="Palatino" w:eastAsia="Calibri" w:hAnsi="Palatino" w:cs="Times New Roman"/>
        </w:rPr>
        <w:t>Rittel</w:t>
      </w:r>
      <w:proofErr w:type="spellEnd"/>
      <w:r>
        <w:rPr>
          <w:rFonts w:ascii="Palatino" w:eastAsia="Calibri" w:hAnsi="Palatino" w:cs="Times New Roman"/>
        </w:rPr>
        <w:t>, H. and M. Webber 1973. Dilemmas in a General Theory of P</w:t>
      </w:r>
      <w:r w:rsidR="00D928B1" w:rsidRPr="0019387B">
        <w:rPr>
          <w:rFonts w:ascii="Palatino" w:eastAsia="Calibri" w:hAnsi="Palatino" w:cs="Times New Roman"/>
        </w:rPr>
        <w:t xml:space="preserve">lanning.” </w:t>
      </w:r>
      <w:r w:rsidR="00D928B1" w:rsidRPr="0019387B">
        <w:rPr>
          <w:rFonts w:ascii="Palatino" w:eastAsia="Calibri" w:hAnsi="Palatino" w:cs="Times New Roman"/>
          <w:i/>
        </w:rPr>
        <w:t>Policy Science</w:t>
      </w:r>
      <w:r w:rsidR="00D928B1" w:rsidRPr="0019387B">
        <w:rPr>
          <w:rFonts w:ascii="Palatino" w:eastAsia="Calibri" w:hAnsi="Palatino" w:cs="Times New Roman"/>
        </w:rPr>
        <w:t>, 4, 155-169.</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Sheffield, E. F. 1981</w:t>
      </w:r>
      <w:r w:rsidR="00D928B1" w:rsidRPr="0019387B">
        <w:rPr>
          <w:rFonts w:ascii="Palatino" w:eastAsia="Calibri" w:hAnsi="Palatino" w:cs="Times New Roman"/>
        </w:rPr>
        <w:t xml:space="preserve">. </w:t>
      </w:r>
      <w:r>
        <w:rPr>
          <w:rFonts w:ascii="Palatino" w:eastAsia="Calibri" w:hAnsi="Palatino" w:cs="Times New Roman"/>
          <w:i/>
        </w:rPr>
        <w:t>Research on Postsecondary Education in Canada: A R</w:t>
      </w:r>
      <w:r w:rsidR="00D928B1" w:rsidRPr="0019387B">
        <w:rPr>
          <w:rFonts w:ascii="Palatino" w:eastAsia="Calibri" w:hAnsi="Palatino" w:cs="Times New Roman"/>
          <w:i/>
        </w:rPr>
        <w:t>eview for the Canadian Society for the Study of Higher Education and the Social Sciences and Humanities Research Council of Canada</w:t>
      </w:r>
      <w:r w:rsidR="00D928B1" w:rsidRPr="0019387B">
        <w:rPr>
          <w:rFonts w:ascii="Palatino" w:eastAsia="Calibri" w:hAnsi="Palatino" w:cs="Times New Roman"/>
        </w:rPr>
        <w:t>. Ottawa: Canadian Society for the Study of Higher Education.</w:t>
      </w:r>
    </w:p>
    <w:p w:rsidR="00D928B1" w:rsidRPr="0019387B" w:rsidRDefault="00D928B1" w:rsidP="00D928B1">
      <w:pPr>
        <w:tabs>
          <w:tab w:val="left" w:pos="360"/>
        </w:tabs>
        <w:ind w:left="720" w:hanging="720"/>
        <w:rPr>
          <w:rFonts w:ascii="Palatino" w:eastAsia="Calibri" w:hAnsi="Palatino" w:cs="Times New Roman"/>
        </w:rPr>
      </w:pPr>
      <w:r w:rsidRPr="0019387B">
        <w:rPr>
          <w:rFonts w:ascii="Palatino" w:eastAsia="Calibri" w:hAnsi="Palatino" w:cs="Times New Roman"/>
        </w:rPr>
        <w:t>Shin, J.</w:t>
      </w:r>
      <w:r w:rsidR="00BD7AC7">
        <w:rPr>
          <w:rFonts w:ascii="Palatino" w:eastAsia="Calibri" w:hAnsi="Palatino" w:cs="Times New Roman"/>
        </w:rPr>
        <w:t xml:space="preserve"> C., </w:t>
      </w:r>
      <w:proofErr w:type="spellStart"/>
      <w:r w:rsidR="00BD7AC7">
        <w:rPr>
          <w:rFonts w:ascii="Palatino" w:eastAsia="Calibri" w:hAnsi="Palatino" w:cs="Times New Roman"/>
        </w:rPr>
        <w:t>Arimoto</w:t>
      </w:r>
      <w:proofErr w:type="spellEnd"/>
      <w:r w:rsidR="00BD7AC7">
        <w:rPr>
          <w:rFonts w:ascii="Palatino" w:eastAsia="Calibri" w:hAnsi="Palatino" w:cs="Times New Roman"/>
        </w:rPr>
        <w:t xml:space="preserve">, A., Cummings, W. and U. </w:t>
      </w:r>
      <w:proofErr w:type="spellStart"/>
      <w:r w:rsidR="00BD7AC7">
        <w:rPr>
          <w:rFonts w:ascii="Palatino" w:eastAsia="Calibri" w:hAnsi="Palatino" w:cs="Times New Roman"/>
        </w:rPr>
        <w:t>Teichler</w:t>
      </w:r>
      <w:proofErr w:type="spellEnd"/>
      <w:r w:rsidR="00BD7AC7">
        <w:rPr>
          <w:rFonts w:ascii="Palatino" w:eastAsia="Calibri" w:hAnsi="Palatino" w:cs="Times New Roman"/>
        </w:rPr>
        <w:t>, eds. 2014</w:t>
      </w:r>
      <w:r w:rsidRPr="0019387B">
        <w:rPr>
          <w:rFonts w:ascii="Palatino" w:eastAsia="Calibri" w:hAnsi="Palatino" w:cs="Times New Roman"/>
        </w:rPr>
        <w:t xml:space="preserve">. </w:t>
      </w:r>
      <w:r w:rsidR="00BD7AC7">
        <w:rPr>
          <w:rFonts w:ascii="Palatino" w:eastAsia="Calibri" w:hAnsi="Palatino" w:cs="Times New Roman"/>
          <w:i/>
        </w:rPr>
        <w:t>Teaching and Research in Contemporary Higher Education: Systems, Activities and R</w:t>
      </w:r>
      <w:r w:rsidRPr="0019387B">
        <w:rPr>
          <w:rFonts w:ascii="Palatino" w:eastAsia="Calibri" w:hAnsi="Palatino" w:cs="Times New Roman"/>
          <w:i/>
        </w:rPr>
        <w:t xml:space="preserve">ewards. </w:t>
      </w:r>
      <w:r w:rsidR="00BD7AC7">
        <w:rPr>
          <w:rFonts w:ascii="Palatino" w:eastAsia="Calibri" w:hAnsi="Palatino" w:cs="Times New Roman"/>
        </w:rPr>
        <w:t xml:space="preserve">Dordrecht: </w:t>
      </w:r>
      <w:r w:rsidRPr="0019387B">
        <w:rPr>
          <w:rFonts w:ascii="Palatino" w:eastAsia="Calibri" w:hAnsi="Palatino" w:cs="Times New Roman"/>
        </w:rPr>
        <w:t>Springer.</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Skolnik, M. L. 1991. On the Study of Higher Education in Canadian U</w:t>
      </w:r>
      <w:r w:rsidR="00D928B1" w:rsidRPr="0019387B">
        <w:rPr>
          <w:rFonts w:ascii="Palatino" w:eastAsia="Calibri" w:hAnsi="Palatino" w:cs="Times New Roman"/>
        </w:rPr>
        <w:t xml:space="preserve">niversities. </w:t>
      </w:r>
      <w:r w:rsidR="00D928B1" w:rsidRPr="0019387B">
        <w:rPr>
          <w:rFonts w:ascii="Palatino" w:eastAsia="Calibri" w:hAnsi="Palatino" w:cs="Times New Roman"/>
          <w:i/>
        </w:rPr>
        <w:t xml:space="preserve">Canadian Journal of Higher Education </w:t>
      </w:r>
      <w:r w:rsidR="00D928B1" w:rsidRPr="0019387B">
        <w:rPr>
          <w:rFonts w:ascii="Palatino" w:eastAsia="Calibri" w:hAnsi="Palatino" w:cs="Times New Roman"/>
        </w:rPr>
        <w:t>21 (3), 96-114.</w:t>
      </w:r>
    </w:p>
    <w:p w:rsidR="00D928B1" w:rsidRPr="0019387B" w:rsidRDefault="00BD7AC7" w:rsidP="00D928B1">
      <w:pPr>
        <w:tabs>
          <w:tab w:val="left" w:pos="360"/>
        </w:tabs>
        <w:ind w:left="720" w:hanging="720"/>
        <w:rPr>
          <w:rFonts w:ascii="Palatino" w:eastAsia="Calibri" w:hAnsi="Palatino" w:cs="Times New Roman"/>
        </w:rPr>
      </w:pPr>
      <w:r>
        <w:rPr>
          <w:rFonts w:ascii="Palatino" w:eastAsia="Calibri" w:hAnsi="Palatino" w:cs="Times New Roman"/>
        </w:rPr>
        <w:t>Skolnik, M. L. 2010. A Look Back at the Decision on the Transfer Function at the Founding of Ontario’s Colleges of Applied Arts and T</w:t>
      </w:r>
      <w:r w:rsidR="00D928B1" w:rsidRPr="0019387B">
        <w:rPr>
          <w:rFonts w:ascii="Palatino" w:eastAsia="Calibri" w:hAnsi="Palatino" w:cs="Times New Roman"/>
        </w:rPr>
        <w:t xml:space="preserve">echnology. </w:t>
      </w:r>
      <w:r w:rsidR="00D928B1" w:rsidRPr="00BD7AC7">
        <w:rPr>
          <w:rFonts w:ascii="Palatino" w:eastAsia="Calibri" w:hAnsi="Palatino" w:cs="Times New Roman"/>
          <w:i/>
        </w:rPr>
        <w:t xml:space="preserve">Canadian </w:t>
      </w:r>
      <w:r w:rsidR="00D928B1" w:rsidRPr="0019387B">
        <w:rPr>
          <w:rFonts w:ascii="Palatino" w:eastAsia="Calibri" w:hAnsi="Palatino" w:cs="Times New Roman"/>
          <w:i/>
        </w:rPr>
        <w:t>Journal of Higher Education</w:t>
      </w:r>
      <w:r w:rsidR="00D928B1" w:rsidRPr="0019387B">
        <w:rPr>
          <w:rFonts w:ascii="Palatino" w:eastAsia="Calibri" w:hAnsi="Palatino" w:cs="Times New Roman"/>
        </w:rPr>
        <w:t>, 40 (2), 1-17.</w:t>
      </w:r>
    </w:p>
    <w:p w:rsidR="00D928B1" w:rsidRPr="0019387B" w:rsidRDefault="00D928B1" w:rsidP="00D928B1">
      <w:pPr>
        <w:tabs>
          <w:tab w:val="left" w:pos="360"/>
        </w:tabs>
        <w:ind w:left="720" w:hanging="720"/>
        <w:rPr>
          <w:rFonts w:ascii="Palatino" w:eastAsia="Calibri" w:hAnsi="Palatino" w:cs="Times New Roman"/>
        </w:rPr>
      </w:pPr>
      <w:r w:rsidRPr="0019387B">
        <w:rPr>
          <w:rFonts w:ascii="Palatino" w:eastAsia="Calibri" w:hAnsi="Palatino" w:cs="Times New Roman"/>
        </w:rPr>
        <w:t>Townsend, B</w:t>
      </w:r>
      <w:r w:rsidR="00BD7AC7">
        <w:rPr>
          <w:rFonts w:ascii="Palatino" w:eastAsia="Calibri" w:hAnsi="Palatino" w:cs="Times New Roman"/>
        </w:rPr>
        <w:t>.K., Bragg, D.D. and C. M. Rudd 2008</w:t>
      </w:r>
      <w:r w:rsidRPr="0019387B">
        <w:rPr>
          <w:rFonts w:ascii="Palatino" w:eastAsia="Calibri" w:hAnsi="Palatino" w:cs="Times New Roman"/>
        </w:rPr>
        <w:t xml:space="preserve">. </w:t>
      </w:r>
      <w:r w:rsidRPr="0019387B">
        <w:rPr>
          <w:rFonts w:ascii="Palatino" w:eastAsia="Calibri" w:hAnsi="Palatino" w:cs="Times New Roman"/>
          <w:i/>
          <w:iCs/>
        </w:rPr>
        <w:t>Th</w:t>
      </w:r>
      <w:r w:rsidR="00BD7AC7">
        <w:rPr>
          <w:rFonts w:ascii="Palatino" w:eastAsia="Calibri" w:hAnsi="Palatino" w:cs="Times New Roman"/>
          <w:i/>
          <w:iCs/>
        </w:rPr>
        <w:t>e Adult Learner and the Applied Baccalaureate: National and State-by-State I</w:t>
      </w:r>
      <w:r w:rsidRPr="0019387B">
        <w:rPr>
          <w:rFonts w:ascii="Palatino" w:eastAsia="Calibri" w:hAnsi="Palatino" w:cs="Times New Roman"/>
          <w:i/>
          <w:iCs/>
        </w:rPr>
        <w:t>nventory</w:t>
      </w:r>
      <w:r w:rsidRPr="0019387B">
        <w:rPr>
          <w:rFonts w:ascii="Palatino" w:eastAsia="Calibri" w:hAnsi="Palatino" w:cs="Times New Roman"/>
        </w:rPr>
        <w:t xml:space="preserve">. Urbana: Office </w:t>
      </w:r>
      <w:r w:rsidRPr="0019387B">
        <w:rPr>
          <w:rFonts w:ascii="Palatino" w:eastAsia="Calibri" w:hAnsi="Palatino" w:cs="Times New Roman"/>
        </w:rPr>
        <w:lastRenderedPageBreak/>
        <w:t>of Community College Research and Leadership, University of Illinois at Urbana-Champaign.</w:t>
      </w:r>
    </w:p>
    <w:p w:rsidR="00D928B1" w:rsidRDefault="007C6C9A" w:rsidP="00D928B1">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Palatino" w:eastAsia="Calibri" w:hAnsi="Palatino" w:cs="Times New Roman"/>
        </w:rPr>
      </w:pPr>
      <w:proofErr w:type="spellStart"/>
      <w:r>
        <w:rPr>
          <w:rFonts w:ascii="Palatino" w:eastAsia="Calibri" w:hAnsi="Palatino" w:cs="Times New Roman"/>
        </w:rPr>
        <w:t>Trow</w:t>
      </w:r>
      <w:proofErr w:type="spellEnd"/>
      <w:r>
        <w:rPr>
          <w:rFonts w:ascii="Palatino" w:eastAsia="Calibri" w:hAnsi="Palatino" w:cs="Times New Roman"/>
        </w:rPr>
        <w:t>, M. 1973</w:t>
      </w:r>
      <w:r w:rsidR="00D928B1" w:rsidRPr="0019387B">
        <w:rPr>
          <w:rFonts w:ascii="Palatino" w:eastAsia="Calibri" w:hAnsi="Palatino" w:cs="Times New Roman"/>
        </w:rPr>
        <w:t xml:space="preserve">. </w:t>
      </w:r>
      <w:r>
        <w:rPr>
          <w:rFonts w:ascii="Palatino" w:eastAsia="Calibri" w:hAnsi="Palatino" w:cs="Times New Roman"/>
          <w:i/>
        </w:rPr>
        <w:t>Problems in the Transition from Elite to Mass H</w:t>
      </w:r>
      <w:r w:rsidR="00D928B1" w:rsidRPr="0019387B">
        <w:rPr>
          <w:rFonts w:ascii="Palatino" w:eastAsia="Calibri" w:hAnsi="Palatino" w:cs="Times New Roman"/>
          <w:i/>
        </w:rPr>
        <w:t>i</w:t>
      </w:r>
      <w:r>
        <w:rPr>
          <w:rFonts w:ascii="Palatino" w:eastAsia="Calibri" w:hAnsi="Palatino" w:cs="Times New Roman"/>
          <w:i/>
        </w:rPr>
        <w:t>gher E</w:t>
      </w:r>
      <w:r w:rsidR="00D928B1" w:rsidRPr="0019387B">
        <w:rPr>
          <w:rFonts w:ascii="Palatino" w:eastAsia="Calibri" w:hAnsi="Palatino" w:cs="Times New Roman"/>
          <w:i/>
        </w:rPr>
        <w:t>ducation.</w:t>
      </w:r>
      <w:r w:rsidR="00D928B1" w:rsidRPr="0019387B">
        <w:rPr>
          <w:rFonts w:ascii="Palatino" w:eastAsia="Calibri" w:hAnsi="Palatino" w:cs="Times New Roman"/>
        </w:rPr>
        <w:t xml:space="preserve"> Berkeley: Carnegie Commission on Higher Education Reprint.</w:t>
      </w:r>
    </w:p>
    <w:p w:rsidR="00E43810" w:rsidRDefault="00E43810" w:rsidP="00D928B1">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Palatino" w:eastAsia="Calibri" w:hAnsi="Palatino" w:cs="Times New Roman"/>
        </w:rPr>
      </w:pPr>
    </w:p>
    <w:p w:rsidR="00E43810" w:rsidRDefault="00E43810" w:rsidP="00E43810">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Palatino" w:eastAsia="Calibri" w:hAnsi="Palatino" w:cs="Times New Roman"/>
          <w:b/>
        </w:rPr>
      </w:pPr>
    </w:p>
    <w:p w:rsidR="00E43810" w:rsidRDefault="00E43810" w:rsidP="00E43810">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Palatino" w:eastAsia="Calibri" w:hAnsi="Palatino" w:cs="Times New Roman"/>
          <w:b/>
        </w:rPr>
      </w:pPr>
    </w:p>
    <w:p w:rsidR="00E43810" w:rsidRDefault="00E43810" w:rsidP="00E43810">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Palatino" w:eastAsia="Calibri" w:hAnsi="Palatino" w:cs="Times New Roman"/>
          <w:b/>
        </w:rPr>
      </w:pPr>
    </w:p>
    <w:p w:rsidR="00E43810" w:rsidRDefault="00E43810" w:rsidP="00E43810">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Palatino" w:eastAsia="Calibri" w:hAnsi="Palatino" w:cs="Times New Roman"/>
        </w:rPr>
      </w:pPr>
      <w:r w:rsidRPr="00E43810">
        <w:rPr>
          <w:rFonts w:ascii="Palatino" w:eastAsia="Calibri" w:hAnsi="Palatino" w:cs="Times New Roman"/>
          <w:b/>
        </w:rPr>
        <w:t>Glen A. Jones</w:t>
      </w:r>
      <w:r>
        <w:rPr>
          <w:rFonts w:ascii="Palatino" w:eastAsia="Calibri" w:hAnsi="Palatino" w:cs="Times New Roman"/>
        </w:rPr>
        <w:t xml:space="preserve"> holds the Ontario Research Chair in Postsecondary Education Policy and Measurement and is the Program Coordinator of the Higher Education Group at the Ontario Institute for Studies in Education, University of Toronto.</w:t>
      </w:r>
    </w:p>
    <w:p w:rsidR="00D928B1" w:rsidRDefault="00D928B1" w:rsidP="00D928B1">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Palatino" w:eastAsia="Calibri" w:hAnsi="Palatino" w:cs="Times New Roman"/>
        </w:rPr>
      </w:pPr>
    </w:p>
    <w:p w:rsidR="007C1A1C" w:rsidRDefault="007C1A1C"/>
    <w:p w:rsidR="00E43810" w:rsidRDefault="00E43810"/>
    <w:p w:rsidR="00E43810" w:rsidRDefault="00E43810"/>
    <w:sectPr w:rsidR="00E43810" w:rsidSect="007C1A1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EAA" w:rsidRDefault="00A95EAA" w:rsidP="00D928B1">
      <w:r>
        <w:separator/>
      </w:r>
    </w:p>
  </w:endnote>
  <w:endnote w:type="continuationSeparator" w:id="0">
    <w:p w:rsidR="00A95EAA" w:rsidRDefault="00A95EAA" w:rsidP="00D9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77F" w:rsidRDefault="0061777F" w:rsidP="00CC02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777F" w:rsidRDefault="0061777F" w:rsidP="00F310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77F" w:rsidRDefault="0061777F" w:rsidP="00CC02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005C">
      <w:rPr>
        <w:rStyle w:val="PageNumber"/>
        <w:noProof/>
      </w:rPr>
      <w:t>1</w:t>
    </w:r>
    <w:r>
      <w:rPr>
        <w:rStyle w:val="PageNumber"/>
      </w:rPr>
      <w:fldChar w:fldCharType="end"/>
    </w:r>
  </w:p>
  <w:p w:rsidR="0061777F" w:rsidRDefault="0061777F" w:rsidP="00F310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EAA" w:rsidRDefault="00A95EAA" w:rsidP="00D928B1">
      <w:r>
        <w:separator/>
      </w:r>
    </w:p>
  </w:footnote>
  <w:footnote w:type="continuationSeparator" w:id="0">
    <w:p w:rsidR="00A95EAA" w:rsidRDefault="00A95EAA" w:rsidP="00D928B1">
      <w:r>
        <w:continuationSeparator/>
      </w:r>
    </w:p>
  </w:footnote>
  <w:footnote w:id="1">
    <w:p w:rsidR="0061777F" w:rsidRPr="006D13D2" w:rsidRDefault="0061777F" w:rsidP="00D928B1">
      <w:pPr>
        <w:pStyle w:val="FootnoteText"/>
        <w:rPr>
          <w:rFonts w:ascii="Times New Roman" w:hAnsi="Times New Roman" w:cs="Times New Roman"/>
        </w:rPr>
      </w:pPr>
      <w:r w:rsidRPr="004875DD">
        <w:rPr>
          <w:rStyle w:val="FootnoteReference"/>
        </w:rPr>
        <w:footnoteRef/>
      </w:r>
      <w:r>
        <w:t xml:space="preserve"> </w:t>
      </w:r>
      <w:r w:rsidRPr="006D13D2">
        <w:rPr>
          <w:rFonts w:ascii="Times New Roman" w:hAnsi="Times New Roman" w:cs="Times New Roman"/>
        </w:rPr>
        <w:t>There are even greater challenges associated with researching the community college sector in Canada where there have been serious problems in the reporting of data on college students, especially part-time students. There is no national dataset related to community college faculty.</w:t>
      </w:r>
    </w:p>
  </w:footnote>
  <w:footnote w:id="2">
    <w:p w:rsidR="0061777F" w:rsidRPr="006D13D2" w:rsidRDefault="0061777F" w:rsidP="00D928B1">
      <w:pPr>
        <w:pStyle w:val="FootnoteText"/>
        <w:rPr>
          <w:rFonts w:ascii="Times New Roman" w:hAnsi="Times New Roman" w:cs="Times New Roman"/>
        </w:rPr>
      </w:pPr>
      <w:r w:rsidRPr="004875DD">
        <w:rPr>
          <w:rStyle w:val="FootnoteReference"/>
        </w:rPr>
        <w:footnoteRef/>
      </w:r>
      <w:r w:rsidRPr="006D13D2">
        <w:rPr>
          <w:rFonts w:ascii="Times New Roman" w:hAnsi="Times New Roman" w:cs="Times New Roman"/>
        </w:rPr>
        <w:t xml:space="preserve"> For a discussion of t</w:t>
      </w:r>
      <w:r w:rsidR="00F034DB">
        <w:rPr>
          <w:rFonts w:ascii="Times New Roman" w:hAnsi="Times New Roman" w:cs="Times New Roman"/>
        </w:rPr>
        <w:t>his issue in Ontario see Jones (</w:t>
      </w:r>
      <w:r w:rsidRPr="006D13D2">
        <w:rPr>
          <w:rFonts w:ascii="Times New Roman" w:hAnsi="Times New Roman" w:cs="Times New Roman"/>
        </w:rPr>
        <w:t>2004</w:t>
      </w:r>
      <w:r w:rsidR="00F034DB">
        <w:rPr>
          <w:rFonts w:ascii="Times New Roman" w:hAnsi="Times New Roman" w:cs="Times New Roman"/>
        </w:rPr>
        <w:t>)</w:t>
      </w:r>
      <w:r w:rsidRPr="006D13D2">
        <w:rPr>
          <w:rFonts w:ascii="Times New Roman" w:hAnsi="Times New Roman" w:cs="Times New Roman"/>
        </w:rPr>
        <w:t>.</w:t>
      </w:r>
    </w:p>
  </w:footnote>
  <w:footnote w:id="3">
    <w:p w:rsidR="0061777F" w:rsidRDefault="0061777F" w:rsidP="00D928B1">
      <w:pPr>
        <w:pStyle w:val="FootnoteText"/>
      </w:pPr>
      <w:r w:rsidRPr="004875DD">
        <w:rPr>
          <w:rStyle w:val="FootnoteReference"/>
        </w:rPr>
        <w:footnoteRef/>
      </w:r>
      <w:r w:rsidRPr="00821002">
        <w:rPr>
          <w:rFonts w:ascii="Times New Roman" w:hAnsi="Times New Roman" w:cs="Times New Roman"/>
        </w:rPr>
        <w:t xml:space="preserve"> In Canada we tend to use higher education, postsecondary education and tertiary education as synonyms</w:t>
      </w:r>
      <w:r>
        <w:t xml:space="preserve">. </w:t>
      </w:r>
    </w:p>
  </w:footnote>
  <w:footnote w:id="4">
    <w:p w:rsidR="0061777F" w:rsidRPr="00472B1A" w:rsidRDefault="0061777F" w:rsidP="00D928B1">
      <w:pPr>
        <w:pStyle w:val="FootnoteText"/>
        <w:rPr>
          <w:rFonts w:ascii="Times New Roman" w:hAnsi="Times New Roman" w:cs="Times New Roman"/>
        </w:rPr>
      </w:pPr>
      <w:r w:rsidRPr="004875DD">
        <w:rPr>
          <w:rStyle w:val="FootnoteReference"/>
        </w:rPr>
        <w:footnoteRef/>
      </w:r>
      <w:r>
        <w:t xml:space="preserve"> </w:t>
      </w:r>
      <w:r w:rsidRPr="00472B1A">
        <w:rPr>
          <w:rFonts w:ascii="Times New Roman" w:hAnsi="Times New Roman" w:cs="Times New Roman"/>
        </w:rPr>
        <w:t xml:space="preserve">Watson made this point in a 2008 conference in Toronto. His reference to “wicked problems” draws from </w:t>
      </w:r>
      <w:r w:rsidRPr="00472B1A">
        <w:rPr>
          <w:rFonts w:ascii="Times New Roman" w:hAnsi="Times New Roman" w:cs="Times New Roman"/>
        </w:rPr>
        <w:t>Rittel and Webber (1973).</w:t>
      </w:r>
    </w:p>
  </w:footnote>
  <w:footnote w:id="5">
    <w:p w:rsidR="0061777F" w:rsidRDefault="0061777F" w:rsidP="00D928B1">
      <w:pPr>
        <w:pStyle w:val="FootnoteText"/>
      </w:pPr>
      <w:r w:rsidRPr="004875DD">
        <w:rPr>
          <w:rStyle w:val="FootnoteReference"/>
        </w:rPr>
        <w:footnoteRef/>
      </w:r>
      <w:r>
        <w:t xml:space="preserve"> For a detailed discussion of these categories in the province of Onta</w:t>
      </w:r>
      <w:r w:rsidR="0098776C">
        <w:t>rio see Skolnik</w:t>
      </w:r>
      <w:r>
        <w:t xml:space="preserve"> </w:t>
      </w:r>
      <w:r w:rsidR="0098776C">
        <w:t>(</w:t>
      </w:r>
      <w:r>
        <w:t>2010</w:t>
      </w:r>
      <w:r w:rsidR="0098776C">
        <w:t>)</w:t>
      </w:r>
      <w:r w:rsidRPr="007B2AB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12229"/>
    <w:multiLevelType w:val="hybridMultilevel"/>
    <w:tmpl w:val="D11A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57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B1"/>
    <w:rsid w:val="000006B2"/>
    <w:rsid w:val="0003305D"/>
    <w:rsid w:val="000426A0"/>
    <w:rsid w:val="000551D4"/>
    <w:rsid w:val="000660F0"/>
    <w:rsid w:val="00093252"/>
    <w:rsid w:val="00125917"/>
    <w:rsid w:val="0018384F"/>
    <w:rsid w:val="001938EA"/>
    <w:rsid w:val="001B4702"/>
    <w:rsid w:val="001D2148"/>
    <w:rsid w:val="00210A75"/>
    <w:rsid w:val="002154D0"/>
    <w:rsid w:val="00256B85"/>
    <w:rsid w:val="00282E7F"/>
    <w:rsid w:val="00283158"/>
    <w:rsid w:val="002B63DF"/>
    <w:rsid w:val="004016FC"/>
    <w:rsid w:val="00403BFA"/>
    <w:rsid w:val="00412E88"/>
    <w:rsid w:val="00432334"/>
    <w:rsid w:val="004C406B"/>
    <w:rsid w:val="004F143A"/>
    <w:rsid w:val="00544089"/>
    <w:rsid w:val="00572368"/>
    <w:rsid w:val="005908B8"/>
    <w:rsid w:val="006077F7"/>
    <w:rsid w:val="0061777F"/>
    <w:rsid w:val="0071543A"/>
    <w:rsid w:val="00754058"/>
    <w:rsid w:val="007700E7"/>
    <w:rsid w:val="00781883"/>
    <w:rsid w:val="007C1A1C"/>
    <w:rsid w:val="007C59A5"/>
    <w:rsid w:val="007C6C9A"/>
    <w:rsid w:val="007D0302"/>
    <w:rsid w:val="008012B3"/>
    <w:rsid w:val="00883A61"/>
    <w:rsid w:val="00945D1A"/>
    <w:rsid w:val="0098776C"/>
    <w:rsid w:val="009A58D7"/>
    <w:rsid w:val="009E1CA1"/>
    <w:rsid w:val="009F081E"/>
    <w:rsid w:val="00A52378"/>
    <w:rsid w:val="00A81D67"/>
    <w:rsid w:val="00A82E8C"/>
    <w:rsid w:val="00A95EAA"/>
    <w:rsid w:val="00AB6FB7"/>
    <w:rsid w:val="00B307EE"/>
    <w:rsid w:val="00B559CE"/>
    <w:rsid w:val="00B64B03"/>
    <w:rsid w:val="00BB5447"/>
    <w:rsid w:val="00BB6DF6"/>
    <w:rsid w:val="00BD005C"/>
    <w:rsid w:val="00BD7AC7"/>
    <w:rsid w:val="00C7679E"/>
    <w:rsid w:val="00CA0E99"/>
    <w:rsid w:val="00CA39E3"/>
    <w:rsid w:val="00CA44ED"/>
    <w:rsid w:val="00CA6212"/>
    <w:rsid w:val="00CC024B"/>
    <w:rsid w:val="00CC17F7"/>
    <w:rsid w:val="00CE0173"/>
    <w:rsid w:val="00D928B1"/>
    <w:rsid w:val="00DD0760"/>
    <w:rsid w:val="00DD0DE1"/>
    <w:rsid w:val="00DF41A8"/>
    <w:rsid w:val="00E36A42"/>
    <w:rsid w:val="00E43810"/>
    <w:rsid w:val="00E54A98"/>
    <w:rsid w:val="00EE1A0A"/>
    <w:rsid w:val="00F034DB"/>
    <w:rsid w:val="00F310AA"/>
    <w:rsid w:val="00F67C94"/>
    <w:rsid w:val="00FB6096"/>
    <w:rsid w:val="00FD7CD4"/>
    <w:rsid w:val="00FE6462"/>
    <w:rsid w:val="00FF1595"/>
    <w:rsid w:val="00FF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8B1"/>
    <w:rPr>
      <w:rFonts w:asciiTheme="majorHAnsi" w:hAnsiTheme="majorHAnsi"/>
    </w:rPr>
  </w:style>
  <w:style w:type="paragraph" w:styleId="Heading2">
    <w:name w:val="heading 2"/>
    <w:basedOn w:val="Normal"/>
    <w:link w:val="Heading2Char"/>
    <w:qFormat/>
    <w:rsid w:val="00D928B1"/>
    <w:pPr>
      <w:spacing w:before="100" w:beforeAutospacing="1" w:after="100" w:afterAutospacing="1"/>
      <w:outlineLvl w:val="1"/>
    </w:pPr>
    <w:rPr>
      <w:rFonts w:ascii="Palatino" w:eastAsia="SimSun" w:hAnsi="Palatino" w:cs="SimSun"/>
      <w:b/>
      <w:bCs/>
      <w:kern w:val="2"/>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28B1"/>
    <w:rPr>
      <w:rFonts w:ascii="Palatino" w:eastAsia="SimSun" w:hAnsi="Palatino" w:cs="SimSun"/>
      <w:b/>
      <w:bCs/>
      <w:kern w:val="2"/>
      <w:sz w:val="36"/>
      <w:szCs w:val="36"/>
      <w:lang w:eastAsia="zh-CN"/>
    </w:rPr>
  </w:style>
  <w:style w:type="character" w:styleId="Hyperlink">
    <w:name w:val="Hyperlink"/>
    <w:basedOn w:val="DefaultParagraphFont"/>
    <w:uiPriority w:val="99"/>
    <w:unhideWhenUsed/>
    <w:rsid w:val="00D928B1"/>
    <w:rPr>
      <w:color w:val="0000FF" w:themeColor="hyperlink"/>
      <w:u w:val="single"/>
    </w:rPr>
  </w:style>
  <w:style w:type="paragraph" w:styleId="FootnoteText">
    <w:name w:val="footnote text"/>
    <w:basedOn w:val="Normal"/>
    <w:link w:val="FootnoteTextChar"/>
    <w:uiPriority w:val="99"/>
    <w:unhideWhenUsed/>
    <w:rsid w:val="00D928B1"/>
    <w:rPr>
      <w:rFonts w:asciiTheme="minorHAnsi" w:eastAsiaTheme="minorHAnsi" w:hAnsiTheme="minorHAnsi"/>
      <w:sz w:val="20"/>
      <w:szCs w:val="20"/>
      <w:lang w:val="en-ZA"/>
    </w:rPr>
  </w:style>
  <w:style w:type="character" w:customStyle="1" w:styleId="FootnoteTextChar">
    <w:name w:val="Footnote Text Char"/>
    <w:basedOn w:val="DefaultParagraphFont"/>
    <w:link w:val="FootnoteText"/>
    <w:uiPriority w:val="99"/>
    <w:rsid w:val="00D928B1"/>
    <w:rPr>
      <w:rFonts w:eastAsiaTheme="minorHAnsi"/>
      <w:sz w:val="20"/>
      <w:szCs w:val="20"/>
      <w:lang w:val="en-ZA"/>
    </w:rPr>
  </w:style>
  <w:style w:type="character" w:styleId="FootnoteReference">
    <w:name w:val="footnote reference"/>
    <w:basedOn w:val="DefaultParagraphFont"/>
    <w:uiPriority w:val="99"/>
    <w:unhideWhenUsed/>
    <w:rsid w:val="00D928B1"/>
    <w:rPr>
      <w:vertAlign w:val="superscript"/>
    </w:rPr>
  </w:style>
  <w:style w:type="character" w:styleId="CommentReference">
    <w:name w:val="annotation reference"/>
    <w:basedOn w:val="DefaultParagraphFont"/>
    <w:uiPriority w:val="99"/>
    <w:semiHidden/>
    <w:unhideWhenUsed/>
    <w:rsid w:val="000426A0"/>
    <w:rPr>
      <w:sz w:val="18"/>
      <w:szCs w:val="18"/>
    </w:rPr>
  </w:style>
  <w:style w:type="paragraph" w:styleId="CommentText">
    <w:name w:val="annotation text"/>
    <w:basedOn w:val="Normal"/>
    <w:link w:val="CommentTextChar"/>
    <w:uiPriority w:val="99"/>
    <w:semiHidden/>
    <w:unhideWhenUsed/>
    <w:rsid w:val="000426A0"/>
  </w:style>
  <w:style w:type="character" w:customStyle="1" w:styleId="CommentTextChar">
    <w:name w:val="Comment Text Char"/>
    <w:basedOn w:val="DefaultParagraphFont"/>
    <w:link w:val="CommentText"/>
    <w:uiPriority w:val="99"/>
    <w:semiHidden/>
    <w:rsid w:val="000426A0"/>
    <w:rPr>
      <w:rFonts w:asciiTheme="majorHAnsi" w:hAnsiTheme="majorHAnsi"/>
    </w:rPr>
  </w:style>
  <w:style w:type="paragraph" w:styleId="CommentSubject">
    <w:name w:val="annotation subject"/>
    <w:basedOn w:val="CommentText"/>
    <w:next w:val="CommentText"/>
    <w:link w:val="CommentSubjectChar"/>
    <w:uiPriority w:val="99"/>
    <w:semiHidden/>
    <w:unhideWhenUsed/>
    <w:rsid w:val="000426A0"/>
    <w:rPr>
      <w:b/>
      <w:bCs/>
      <w:sz w:val="20"/>
      <w:szCs w:val="20"/>
    </w:rPr>
  </w:style>
  <w:style w:type="character" w:customStyle="1" w:styleId="CommentSubjectChar">
    <w:name w:val="Comment Subject Char"/>
    <w:basedOn w:val="CommentTextChar"/>
    <w:link w:val="CommentSubject"/>
    <w:uiPriority w:val="99"/>
    <w:semiHidden/>
    <w:rsid w:val="000426A0"/>
    <w:rPr>
      <w:rFonts w:asciiTheme="majorHAnsi" w:hAnsiTheme="majorHAnsi"/>
      <w:b/>
      <w:bCs/>
      <w:sz w:val="20"/>
      <w:szCs w:val="20"/>
    </w:rPr>
  </w:style>
  <w:style w:type="paragraph" w:styleId="BalloonText">
    <w:name w:val="Balloon Text"/>
    <w:basedOn w:val="Normal"/>
    <w:link w:val="BalloonTextChar"/>
    <w:uiPriority w:val="99"/>
    <w:semiHidden/>
    <w:unhideWhenUsed/>
    <w:rsid w:val="000426A0"/>
    <w:rPr>
      <w:rFonts w:ascii="Lucida Grande" w:hAnsi="Lucida Grande"/>
      <w:sz w:val="18"/>
      <w:szCs w:val="18"/>
    </w:rPr>
  </w:style>
  <w:style w:type="character" w:customStyle="1" w:styleId="BalloonTextChar">
    <w:name w:val="Balloon Text Char"/>
    <w:basedOn w:val="DefaultParagraphFont"/>
    <w:link w:val="BalloonText"/>
    <w:uiPriority w:val="99"/>
    <w:semiHidden/>
    <w:rsid w:val="000426A0"/>
    <w:rPr>
      <w:rFonts w:ascii="Lucida Grande" w:hAnsi="Lucida Grande"/>
      <w:sz w:val="18"/>
      <w:szCs w:val="18"/>
    </w:rPr>
  </w:style>
  <w:style w:type="paragraph" w:styleId="Footer">
    <w:name w:val="footer"/>
    <w:basedOn w:val="Normal"/>
    <w:link w:val="FooterChar"/>
    <w:uiPriority w:val="99"/>
    <w:unhideWhenUsed/>
    <w:rsid w:val="00F310AA"/>
    <w:pPr>
      <w:tabs>
        <w:tab w:val="center" w:pos="4320"/>
        <w:tab w:val="right" w:pos="8640"/>
      </w:tabs>
    </w:pPr>
  </w:style>
  <w:style w:type="character" w:customStyle="1" w:styleId="FooterChar">
    <w:name w:val="Footer Char"/>
    <w:basedOn w:val="DefaultParagraphFont"/>
    <w:link w:val="Footer"/>
    <w:uiPriority w:val="99"/>
    <w:rsid w:val="00F310AA"/>
    <w:rPr>
      <w:rFonts w:asciiTheme="majorHAnsi" w:hAnsiTheme="majorHAnsi"/>
    </w:rPr>
  </w:style>
  <w:style w:type="character" w:styleId="PageNumber">
    <w:name w:val="page number"/>
    <w:basedOn w:val="DefaultParagraphFont"/>
    <w:uiPriority w:val="99"/>
    <w:semiHidden/>
    <w:unhideWhenUsed/>
    <w:rsid w:val="00F3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9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u.org/liberaleducation/le-fa03/le-sfa03feature.cfm" TargetMode="External"/><Relationship Id="rId3" Type="http://schemas.openxmlformats.org/officeDocument/2006/relationships/settings" Target="settings.xml"/><Relationship Id="rId7" Type="http://schemas.openxmlformats.org/officeDocument/2006/relationships/hyperlink" Target="http://www.tandfonli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Stanfield</dc:creator>
  <cp:lastModifiedBy>Andrea Zdzylowski</cp:lastModifiedBy>
  <cp:revision>2</cp:revision>
  <cp:lastPrinted>2014-01-15T15:23:00Z</cp:lastPrinted>
  <dcterms:created xsi:type="dcterms:W3CDTF">2023-07-13T20:34:00Z</dcterms:created>
  <dcterms:modified xsi:type="dcterms:W3CDTF">2023-07-13T20:34:00Z</dcterms:modified>
</cp:coreProperties>
</file>