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AD82C" w14:textId="77777777" w:rsidR="00B01EE6" w:rsidRPr="0055435B" w:rsidRDefault="00B01EE6" w:rsidP="0055435B">
      <w:pPr>
        <w:spacing w:line="360" w:lineRule="auto"/>
        <w:jc w:val="center"/>
        <w:rPr>
          <w:rFonts w:cs="Times New Roman"/>
          <w:b/>
          <w:szCs w:val="24"/>
        </w:rPr>
      </w:pPr>
    </w:p>
    <w:p w14:paraId="1E53E8A0" w14:textId="77777777" w:rsidR="00B01EE6" w:rsidRPr="0055435B" w:rsidRDefault="00B01EE6" w:rsidP="0055435B">
      <w:pPr>
        <w:spacing w:line="360" w:lineRule="auto"/>
        <w:jc w:val="center"/>
        <w:rPr>
          <w:rFonts w:cs="Times New Roman"/>
          <w:b/>
          <w:szCs w:val="24"/>
        </w:rPr>
      </w:pPr>
    </w:p>
    <w:p w14:paraId="14101765" w14:textId="77777777" w:rsidR="00B01EE6" w:rsidRPr="0055435B" w:rsidRDefault="00B01EE6" w:rsidP="0055435B">
      <w:pPr>
        <w:spacing w:line="360" w:lineRule="auto"/>
        <w:jc w:val="center"/>
        <w:rPr>
          <w:rFonts w:cs="Times New Roman"/>
          <w:b/>
          <w:szCs w:val="24"/>
        </w:rPr>
      </w:pPr>
    </w:p>
    <w:p w14:paraId="485E4C4A" w14:textId="77777777" w:rsidR="00B01EE6" w:rsidRPr="0055435B" w:rsidRDefault="00B01EE6" w:rsidP="0055435B">
      <w:pPr>
        <w:spacing w:line="360" w:lineRule="auto"/>
        <w:jc w:val="center"/>
        <w:rPr>
          <w:rFonts w:cs="Times New Roman"/>
          <w:b/>
          <w:szCs w:val="24"/>
        </w:rPr>
      </w:pPr>
    </w:p>
    <w:p w14:paraId="6A9C33F1" w14:textId="77777777" w:rsidR="00433D8A" w:rsidRDefault="00B01EE6" w:rsidP="0055435B">
      <w:pPr>
        <w:spacing w:line="360" w:lineRule="auto"/>
        <w:jc w:val="center"/>
        <w:rPr>
          <w:rFonts w:cs="Times New Roman"/>
          <w:b/>
          <w:sz w:val="28"/>
          <w:szCs w:val="28"/>
        </w:rPr>
      </w:pPr>
      <w:r w:rsidRPr="00433D8A">
        <w:rPr>
          <w:rFonts w:cs="Times New Roman"/>
          <w:b/>
          <w:sz w:val="28"/>
          <w:szCs w:val="28"/>
        </w:rPr>
        <w:t xml:space="preserve">Increasing Access to Higher Education: </w:t>
      </w:r>
    </w:p>
    <w:p w14:paraId="64A1A17A" w14:textId="05818BF5" w:rsidR="00B01EE6" w:rsidRPr="00433D8A" w:rsidRDefault="00B01EE6" w:rsidP="0055435B">
      <w:pPr>
        <w:spacing w:line="360" w:lineRule="auto"/>
        <w:jc w:val="center"/>
        <w:rPr>
          <w:rFonts w:cs="Times New Roman"/>
          <w:b/>
          <w:sz w:val="28"/>
          <w:szCs w:val="28"/>
        </w:rPr>
      </w:pPr>
      <w:r w:rsidRPr="00433D8A">
        <w:rPr>
          <w:rFonts w:cs="Times New Roman"/>
          <w:b/>
          <w:sz w:val="28"/>
          <w:szCs w:val="28"/>
        </w:rPr>
        <w:t>A Review of System-Level Policy Initiatives</w:t>
      </w:r>
    </w:p>
    <w:p w14:paraId="3D534B61" w14:textId="77777777" w:rsidR="00B01EE6" w:rsidRPr="0055435B" w:rsidRDefault="00B01EE6" w:rsidP="007B7584">
      <w:pPr>
        <w:spacing w:line="360" w:lineRule="auto"/>
        <w:rPr>
          <w:rFonts w:cs="Times New Roman"/>
          <w:b/>
          <w:szCs w:val="24"/>
        </w:rPr>
      </w:pPr>
    </w:p>
    <w:p w14:paraId="3F7FA9F2" w14:textId="77777777" w:rsidR="00B01EE6" w:rsidRPr="0055435B" w:rsidRDefault="00B01EE6" w:rsidP="0055435B">
      <w:pPr>
        <w:spacing w:line="360" w:lineRule="auto"/>
        <w:jc w:val="center"/>
        <w:rPr>
          <w:rFonts w:cs="Times New Roman"/>
          <w:b/>
          <w:szCs w:val="24"/>
        </w:rPr>
      </w:pPr>
    </w:p>
    <w:p w14:paraId="1FA77D5C" w14:textId="77777777" w:rsidR="00B01EE6" w:rsidRPr="0055435B" w:rsidRDefault="00B01EE6" w:rsidP="0055435B">
      <w:pPr>
        <w:spacing w:line="360" w:lineRule="auto"/>
        <w:jc w:val="center"/>
        <w:rPr>
          <w:rFonts w:cs="Times New Roman"/>
          <w:b/>
          <w:szCs w:val="24"/>
        </w:rPr>
      </w:pPr>
    </w:p>
    <w:p w14:paraId="7B357B99" w14:textId="77777777" w:rsidR="00433D8A" w:rsidRPr="007B7584" w:rsidRDefault="00B01EE6" w:rsidP="00433D8A">
      <w:pPr>
        <w:spacing w:line="360" w:lineRule="auto"/>
        <w:jc w:val="center"/>
        <w:rPr>
          <w:rFonts w:cs="Times New Roman"/>
          <w:b/>
          <w:szCs w:val="24"/>
        </w:rPr>
      </w:pPr>
      <w:r w:rsidRPr="007B7584">
        <w:rPr>
          <w:rFonts w:cs="Times New Roman"/>
          <w:b/>
          <w:szCs w:val="24"/>
        </w:rPr>
        <w:t>Glen A. Jones</w:t>
      </w:r>
      <w:r w:rsidR="00433D8A" w:rsidRPr="007B7584">
        <w:rPr>
          <w:rFonts w:cs="Times New Roman"/>
          <w:b/>
          <w:szCs w:val="24"/>
        </w:rPr>
        <w:t xml:space="preserve"> </w:t>
      </w:r>
    </w:p>
    <w:p w14:paraId="2B13EB48" w14:textId="4DD38841" w:rsidR="00B01EE6" w:rsidRDefault="00B01EE6" w:rsidP="00433D8A">
      <w:pPr>
        <w:spacing w:line="360" w:lineRule="auto"/>
        <w:jc w:val="center"/>
        <w:rPr>
          <w:rFonts w:cs="Times New Roman"/>
          <w:b/>
          <w:szCs w:val="24"/>
        </w:rPr>
      </w:pPr>
      <w:r w:rsidRPr="007B7584">
        <w:rPr>
          <w:rFonts w:cs="Times New Roman"/>
          <w:b/>
          <w:szCs w:val="24"/>
        </w:rPr>
        <w:t>Cynthia Field</w:t>
      </w:r>
    </w:p>
    <w:p w14:paraId="6832E55D" w14:textId="77777777" w:rsidR="007B7584" w:rsidRDefault="007B7584" w:rsidP="00433D8A">
      <w:pPr>
        <w:spacing w:line="360" w:lineRule="auto"/>
        <w:jc w:val="center"/>
        <w:rPr>
          <w:rFonts w:cs="Times New Roman"/>
          <w:b/>
          <w:szCs w:val="24"/>
        </w:rPr>
      </w:pPr>
    </w:p>
    <w:p w14:paraId="0396093E" w14:textId="327E9274" w:rsidR="007B7584" w:rsidRPr="007B7584" w:rsidRDefault="00C66791" w:rsidP="00433D8A">
      <w:pPr>
        <w:spacing w:line="360" w:lineRule="auto"/>
        <w:jc w:val="center"/>
        <w:rPr>
          <w:rFonts w:cs="Times New Roman"/>
          <w:szCs w:val="24"/>
        </w:rPr>
      </w:pPr>
      <w:r>
        <w:rPr>
          <w:rFonts w:cs="Times New Roman"/>
          <w:szCs w:val="24"/>
        </w:rPr>
        <w:t>DRAFT: September 11</w:t>
      </w:r>
      <w:r w:rsidR="007B7584">
        <w:rPr>
          <w:rFonts w:cs="Times New Roman"/>
          <w:szCs w:val="24"/>
        </w:rPr>
        <w:t>, 2013</w:t>
      </w:r>
    </w:p>
    <w:p w14:paraId="70BE8454" w14:textId="77777777" w:rsidR="007B7584" w:rsidRPr="007B7584" w:rsidRDefault="007B7584" w:rsidP="007B7584">
      <w:pPr>
        <w:spacing w:after="0" w:line="240" w:lineRule="auto"/>
        <w:jc w:val="center"/>
        <w:rPr>
          <w:rFonts w:cs="Times New Roman"/>
          <w:b/>
          <w:szCs w:val="24"/>
        </w:rPr>
      </w:pPr>
    </w:p>
    <w:p w14:paraId="363602D9" w14:textId="36CF66BF" w:rsidR="00B01EE6" w:rsidRDefault="00433D8A" w:rsidP="007B7584">
      <w:pPr>
        <w:spacing w:after="0" w:line="240" w:lineRule="auto"/>
        <w:jc w:val="center"/>
        <w:rPr>
          <w:rFonts w:cs="Times New Roman"/>
          <w:szCs w:val="24"/>
        </w:rPr>
      </w:pPr>
      <w:r>
        <w:rPr>
          <w:rFonts w:cs="Times New Roman"/>
          <w:szCs w:val="24"/>
        </w:rPr>
        <w:t>Higher Education Group</w:t>
      </w:r>
    </w:p>
    <w:p w14:paraId="475C30F8" w14:textId="613639C5" w:rsidR="00433D8A" w:rsidRDefault="00433D8A" w:rsidP="007B7584">
      <w:pPr>
        <w:spacing w:after="0" w:line="240" w:lineRule="auto"/>
        <w:jc w:val="center"/>
        <w:rPr>
          <w:rFonts w:cs="Times New Roman"/>
          <w:szCs w:val="24"/>
        </w:rPr>
      </w:pPr>
      <w:r>
        <w:rPr>
          <w:rFonts w:cs="Times New Roman"/>
          <w:szCs w:val="24"/>
        </w:rPr>
        <w:t>Department of Leadership, Higher and Adult Education</w:t>
      </w:r>
    </w:p>
    <w:p w14:paraId="4DA58042" w14:textId="29B1CDCF" w:rsidR="00433D8A" w:rsidRDefault="00433D8A" w:rsidP="007B7584">
      <w:pPr>
        <w:spacing w:after="0" w:line="240" w:lineRule="auto"/>
        <w:jc w:val="center"/>
        <w:rPr>
          <w:rFonts w:cs="Times New Roman"/>
          <w:szCs w:val="24"/>
        </w:rPr>
      </w:pPr>
      <w:r>
        <w:rPr>
          <w:rFonts w:cs="Times New Roman"/>
          <w:szCs w:val="24"/>
        </w:rPr>
        <w:t>Ontario Institute for Studies in Education</w:t>
      </w:r>
    </w:p>
    <w:p w14:paraId="26230CE1" w14:textId="6FBAF86F" w:rsidR="00433D8A" w:rsidRDefault="00433D8A" w:rsidP="007B7584">
      <w:pPr>
        <w:spacing w:after="0" w:line="240" w:lineRule="auto"/>
        <w:jc w:val="center"/>
        <w:rPr>
          <w:rFonts w:cs="Times New Roman"/>
          <w:szCs w:val="24"/>
        </w:rPr>
      </w:pPr>
      <w:r>
        <w:rPr>
          <w:rFonts w:cs="Times New Roman"/>
          <w:szCs w:val="24"/>
        </w:rPr>
        <w:t>University of Toronto</w:t>
      </w:r>
    </w:p>
    <w:p w14:paraId="1D756334" w14:textId="77777777" w:rsidR="007B7584" w:rsidRDefault="007B7584" w:rsidP="007B7584">
      <w:pPr>
        <w:spacing w:after="0" w:line="240" w:lineRule="auto"/>
        <w:jc w:val="center"/>
        <w:rPr>
          <w:rFonts w:cs="Times New Roman"/>
          <w:szCs w:val="24"/>
        </w:rPr>
      </w:pPr>
    </w:p>
    <w:p w14:paraId="3B6B90A4" w14:textId="77777777" w:rsidR="007B7584" w:rsidRDefault="007B7584" w:rsidP="007B7584">
      <w:pPr>
        <w:spacing w:after="0" w:line="240" w:lineRule="auto"/>
        <w:jc w:val="center"/>
        <w:rPr>
          <w:rFonts w:cs="Times New Roman"/>
          <w:szCs w:val="24"/>
        </w:rPr>
      </w:pPr>
    </w:p>
    <w:p w14:paraId="2898B9BF" w14:textId="77777777" w:rsidR="007B7584" w:rsidRDefault="007B7584" w:rsidP="007B7584">
      <w:pPr>
        <w:spacing w:after="0" w:line="240" w:lineRule="auto"/>
        <w:jc w:val="center"/>
        <w:rPr>
          <w:rFonts w:cs="Times New Roman"/>
          <w:szCs w:val="24"/>
        </w:rPr>
      </w:pPr>
    </w:p>
    <w:p w14:paraId="061AA9E2" w14:textId="77777777" w:rsidR="007B7584" w:rsidRDefault="007B7584" w:rsidP="007B7584">
      <w:pPr>
        <w:spacing w:after="0" w:line="240" w:lineRule="auto"/>
        <w:jc w:val="center"/>
        <w:rPr>
          <w:rFonts w:cs="Times New Roman"/>
          <w:szCs w:val="24"/>
        </w:rPr>
      </w:pPr>
    </w:p>
    <w:p w14:paraId="47F4003E" w14:textId="77777777" w:rsidR="007B7584" w:rsidRDefault="007B7584" w:rsidP="007B7584">
      <w:pPr>
        <w:spacing w:after="0" w:line="240" w:lineRule="auto"/>
        <w:jc w:val="center"/>
        <w:rPr>
          <w:rFonts w:cs="Times New Roman"/>
          <w:szCs w:val="24"/>
        </w:rPr>
      </w:pPr>
    </w:p>
    <w:p w14:paraId="76BA2CC0" w14:textId="77777777" w:rsidR="007B7584" w:rsidRDefault="007B7584" w:rsidP="007B7584">
      <w:pPr>
        <w:spacing w:after="0" w:line="240" w:lineRule="auto"/>
        <w:jc w:val="center"/>
        <w:rPr>
          <w:rFonts w:cs="Times New Roman"/>
          <w:szCs w:val="24"/>
        </w:rPr>
      </w:pPr>
    </w:p>
    <w:p w14:paraId="5A486FDE" w14:textId="77777777" w:rsidR="007B7584" w:rsidRDefault="007B7584" w:rsidP="007B7584">
      <w:pPr>
        <w:spacing w:after="0" w:line="240" w:lineRule="auto"/>
        <w:rPr>
          <w:rFonts w:cs="Times New Roman"/>
          <w:szCs w:val="24"/>
        </w:rPr>
      </w:pPr>
    </w:p>
    <w:p w14:paraId="27F876BC" w14:textId="77777777" w:rsidR="007B7584" w:rsidRDefault="007B7584" w:rsidP="007B7584">
      <w:pPr>
        <w:spacing w:after="0" w:line="240" w:lineRule="auto"/>
        <w:jc w:val="center"/>
        <w:rPr>
          <w:rFonts w:cs="Times New Roman"/>
          <w:szCs w:val="24"/>
        </w:rPr>
      </w:pPr>
    </w:p>
    <w:p w14:paraId="01EFD109" w14:textId="77777777" w:rsidR="007B7584" w:rsidRDefault="007B7584" w:rsidP="007B7584">
      <w:pPr>
        <w:spacing w:after="0" w:line="240" w:lineRule="auto"/>
        <w:jc w:val="center"/>
        <w:rPr>
          <w:rFonts w:cs="Times New Roman"/>
          <w:szCs w:val="24"/>
        </w:rPr>
      </w:pPr>
    </w:p>
    <w:p w14:paraId="25314F46" w14:textId="77777777" w:rsidR="00433D8A" w:rsidRDefault="00433D8A" w:rsidP="007B7584">
      <w:pPr>
        <w:spacing w:after="0" w:line="240" w:lineRule="auto"/>
        <w:jc w:val="center"/>
        <w:rPr>
          <w:rFonts w:cs="Times New Roman"/>
          <w:szCs w:val="24"/>
        </w:rPr>
      </w:pPr>
    </w:p>
    <w:p w14:paraId="72D9A984" w14:textId="642C2E2C" w:rsidR="007B7584" w:rsidRDefault="00433D8A" w:rsidP="007B7584">
      <w:pPr>
        <w:spacing w:after="0" w:line="240" w:lineRule="auto"/>
        <w:jc w:val="center"/>
        <w:rPr>
          <w:rFonts w:cs="Times New Roman"/>
          <w:szCs w:val="24"/>
        </w:rPr>
      </w:pPr>
      <w:r>
        <w:rPr>
          <w:rFonts w:cs="Times New Roman"/>
          <w:szCs w:val="24"/>
        </w:rPr>
        <w:t>This paper was prepared for</w:t>
      </w:r>
      <w:r w:rsidR="007B7584">
        <w:rPr>
          <w:rFonts w:cs="Times New Roman"/>
          <w:szCs w:val="24"/>
        </w:rPr>
        <w:t xml:space="preserve"> presentation at the 2013 IALEI Conference on Access Policy in Higher Education, Beijing Norma</w:t>
      </w:r>
      <w:r w:rsidR="00A81EE1">
        <w:rPr>
          <w:rFonts w:cs="Times New Roman"/>
          <w:szCs w:val="24"/>
        </w:rPr>
        <w:t>l</w:t>
      </w:r>
      <w:r w:rsidR="007B7584">
        <w:rPr>
          <w:rFonts w:cs="Times New Roman"/>
          <w:szCs w:val="24"/>
        </w:rPr>
        <w:t xml:space="preserve"> University, Beijing, China, October 31</w:t>
      </w:r>
      <w:r w:rsidR="007B7584" w:rsidRPr="007B7584">
        <w:rPr>
          <w:rFonts w:cs="Times New Roman"/>
          <w:szCs w:val="24"/>
          <w:vertAlign w:val="superscript"/>
        </w:rPr>
        <w:t>st</w:t>
      </w:r>
      <w:r w:rsidR="007B7584">
        <w:rPr>
          <w:rFonts w:cs="Times New Roman"/>
          <w:szCs w:val="24"/>
        </w:rPr>
        <w:t xml:space="preserve"> to November 2, 2013</w:t>
      </w:r>
    </w:p>
    <w:p w14:paraId="06B55D8A" w14:textId="766DC6E1" w:rsidR="007B7584" w:rsidRPr="007B7584" w:rsidRDefault="007B7584" w:rsidP="007B7584">
      <w:pPr>
        <w:spacing w:after="0" w:line="240" w:lineRule="auto"/>
        <w:jc w:val="center"/>
        <w:rPr>
          <w:rFonts w:cs="Times New Roman"/>
          <w:b/>
          <w:szCs w:val="24"/>
        </w:rPr>
      </w:pPr>
      <w:r w:rsidRPr="007B7584">
        <w:rPr>
          <w:rFonts w:cs="Times New Roman"/>
          <w:b/>
          <w:szCs w:val="24"/>
        </w:rPr>
        <w:lastRenderedPageBreak/>
        <w:t xml:space="preserve">Increasing Access to Higher Education: </w:t>
      </w:r>
      <w:r>
        <w:rPr>
          <w:rFonts w:cs="Times New Roman"/>
          <w:b/>
          <w:szCs w:val="24"/>
        </w:rPr>
        <w:t xml:space="preserve"> </w:t>
      </w:r>
      <w:r w:rsidRPr="007B7584">
        <w:rPr>
          <w:rFonts w:cs="Times New Roman"/>
          <w:b/>
          <w:szCs w:val="24"/>
        </w:rPr>
        <w:t>A Review of System-Level Policy Initiatives</w:t>
      </w:r>
    </w:p>
    <w:p w14:paraId="791B046F" w14:textId="77777777" w:rsidR="007B7584" w:rsidRPr="007B7584" w:rsidRDefault="007B7584" w:rsidP="007B7584">
      <w:pPr>
        <w:spacing w:after="0" w:line="240" w:lineRule="auto"/>
        <w:rPr>
          <w:rFonts w:cs="Times New Roman"/>
          <w:b/>
          <w:szCs w:val="24"/>
        </w:rPr>
      </w:pPr>
    </w:p>
    <w:p w14:paraId="1C860DFD" w14:textId="77777777" w:rsidR="007B7584" w:rsidRPr="007B7584" w:rsidRDefault="007B7584" w:rsidP="007B7584">
      <w:pPr>
        <w:spacing w:after="0" w:line="240" w:lineRule="auto"/>
        <w:jc w:val="center"/>
        <w:rPr>
          <w:rFonts w:cs="Times New Roman"/>
          <w:b/>
          <w:szCs w:val="24"/>
        </w:rPr>
      </w:pPr>
    </w:p>
    <w:p w14:paraId="5DD35988" w14:textId="77777777" w:rsidR="007B7584" w:rsidRPr="007B7584" w:rsidRDefault="007B7584" w:rsidP="007B7584">
      <w:pPr>
        <w:spacing w:after="0" w:line="240" w:lineRule="auto"/>
        <w:jc w:val="center"/>
        <w:rPr>
          <w:rFonts w:cs="Times New Roman"/>
          <w:b/>
          <w:szCs w:val="24"/>
        </w:rPr>
      </w:pPr>
      <w:r w:rsidRPr="007B7584">
        <w:rPr>
          <w:rFonts w:cs="Times New Roman"/>
          <w:b/>
          <w:szCs w:val="24"/>
        </w:rPr>
        <w:t xml:space="preserve">Glen A. Jones </w:t>
      </w:r>
    </w:p>
    <w:p w14:paraId="101EA035" w14:textId="77777777" w:rsidR="007B7584" w:rsidRPr="007B7584" w:rsidRDefault="007B7584" w:rsidP="007B7584">
      <w:pPr>
        <w:spacing w:after="0" w:line="240" w:lineRule="auto"/>
        <w:jc w:val="center"/>
        <w:rPr>
          <w:rFonts w:cs="Times New Roman"/>
          <w:b/>
          <w:szCs w:val="24"/>
        </w:rPr>
      </w:pPr>
      <w:r w:rsidRPr="007B7584">
        <w:rPr>
          <w:rFonts w:cs="Times New Roman"/>
          <w:b/>
          <w:szCs w:val="24"/>
        </w:rPr>
        <w:t>Cynthia Field</w:t>
      </w:r>
    </w:p>
    <w:p w14:paraId="02DDF54D" w14:textId="733DA92D" w:rsidR="007B7584" w:rsidRDefault="007B7584" w:rsidP="007B7584">
      <w:pPr>
        <w:spacing w:after="0" w:line="240" w:lineRule="auto"/>
        <w:rPr>
          <w:rFonts w:cs="Times New Roman"/>
          <w:szCs w:val="24"/>
        </w:rPr>
      </w:pPr>
    </w:p>
    <w:p w14:paraId="1F90158A" w14:textId="25A1F0FF" w:rsidR="007B7584" w:rsidRPr="00833E0F" w:rsidRDefault="00833E0F" w:rsidP="007B7584">
      <w:pPr>
        <w:spacing w:after="0" w:line="240" w:lineRule="auto"/>
        <w:rPr>
          <w:rFonts w:cs="Times New Roman"/>
          <w:b/>
          <w:szCs w:val="24"/>
        </w:rPr>
      </w:pPr>
      <w:r w:rsidRPr="00833E0F">
        <w:rPr>
          <w:rFonts w:cs="Times New Roman"/>
          <w:b/>
          <w:szCs w:val="24"/>
        </w:rPr>
        <w:t>Abstract:</w:t>
      </w:r>
    </w:p>
    <w:p w14:paraId="7153599E" w14:textId="77777777" w:rsidR="00833E0F" w:rsidRDefault="00833E0F" w:rsidP="007B7584">
      <w:pPr>
        <w:spacing w:after="0" w:line="240" w:lineRule="auto"/>
        <w:rPr>
          <w:rFonts w:cs="Times New Roman"/>
          <w:szCs w:val="24"/>
        </w:rPr>
      </w:pPr>
    </w:p>
    <w:p w14:paraId="6C57F54B" w14:textId="58468F62" w:rsidR="00833E0F" w:rsidRPr="00833E0F" w:rsidRDefault="00833E0F" w:rsidP="00833E0F">
      <w:pPr>
        <w:rPr>
          <w:i/>
        </w:rPr>
      </w:pPr>
      <w:r w:rsidRPr="00833E0F">
        <w:rPr>
          <w:i/>
        </w:rPr>
        <w:t xml:space="preserve">Higher education has become a key element of social and economic policy in countries throughout the world. Increasing participation rates in higher education is an important policy objective of most governments as they strive to develop the highly skilled human resources required for developed economies, to obtain the public returns on investment associated with a highly educated population, and to broaden access to include disadvantaged populations and address broader social inequities. While many of the most important mechanisms for increasing access and student success take place at the level of the institution or program, there are a range of policy approaches available to governments to directly or indirectly influence access to higher education. The objective of this paper is to provide a systematic overview of key policy options available at the system-level. Drawing largely from the Canadian experience (Jones, Shanahan, </w:t>
      </w:r>
      <w:proofErr w:type="spellStart"/>
      <w:r w:rsidRPr="00833E0F">
        <w:rPr>
          <w:i/>
        </w:rPr>
        <w:t>Padure</w:t>
      </w:r>
      <w:proofErr w:type="spellEnd"/>
      <w:r w:rsidRPr="00833E0F">
        <w:rPr>
          <w:i/>
        </w:rPr>
        <w:t xml:space="preserve">, Lamoureux &amp; Gregor, 2008), the paper will provide a macro analysis of government policy approaches designed to increase access, and assess these mechanisms based on current research in the field. </w:t>
      </w:r>
    </w:p>
    <w:p w14:paraId="50A71E02" w14:textId="77777777" w:rsidR="00833E0F" w:rsidRDefault="00833E0F" w:rsidP="007B7584">
      <w:pPr>
        <w:spacing w:after="0" w:line="240" w:lineRule="auto"/>
        <w:rPr>
          <w:rFonts w:cs="Times New Roman"/>
          <w:szCs w:val="24"/>
        </w:rPr>
      </w:pPr>
    </w:p>
    <w:p w14:paraId="00810159" w14:textId="77777777" w:rsidR="00B01EE6" w:rsidRPr="0055435B" w:rsidRDefault="00B01EE6" w:rsidP="008974BC">
      <w:pPr>
        <w:spacing w:after="0" w:line="480" w:lineRule="auto"/>
        <w:rPr>
          <w:rFonts w:cs="Times New Roman"/>
          <w:b/>
          <w:szCs w:val="24"/>
        </w:rPr>
      </w:pPr>
      <w:r w:rsidRPr="0055435B">
        <w:rPr>
          <w:rFonts w:cs="Times New Roman"/>
          <w:b/>
          <w:szCs w:val="24"/>
        </w:rPr>
        <w:t>Introduction</w:t>
      </w:r>
    </w:p>
    <w:p w14:paraId="51AA7DD9" w14:textId="77777777" w:rsidR="00833E0F" w:rsidRPr="00833E0F" w:rsidRDefault="00833E0F" w:rsidP="008974BC">
      <w:pPr>
        <w:spacing w:after="0" w:line="480" w:lineRule="auto"/>
      </w:pPr>
      <w:r>
        <w:t xml:space="preserve">Higher education has become a key element of social and economic policy in countries throughout the world. Increasing participation rates in higher education is an important policy objective of most governments as they strive to develop the highly skilled human resources required for developed economies, to obtain the public returns on investment associated with a highly educated population, and to broaden access to include disadvantaged populations and address broader social inequities. </w:t>
      </w:r>
      <w:r w:rsidRPr="00833E0F">
        <w:t xml:space="preserve">Access is a complex issue, however, requiring strategies that apply to specific regions and subpopulations in order to truly meet the objective of ensuring a highly educated population with broad representation of various ethnic groups and social classes. </w:t>
      </w:r>
    </w:p>
    <w:p w14:paraId="627AE317" w14:textId="77777777" w:rsidR="00833E0F" w:rsidRDefault="00833E0F" w:rsidP="008974BC">
      <w:pPr>
        <w:spacing w:after="0" w:line="480" w:lineRule="auto"/>
      </w:pPr>
    </w:p>
    <w:p w14:paraId="7F2C1CF8" w14:textId="206751EA" w:rsidR="00B01EE6" w:rsidRPr="008974BC" w:rsidRDefault="00D71B97" w:rsidP="008974BC">
      <w:pPr>
        <w:spacing w:after="0" w:line="480" w:lineRule="auto"/>
        <w:ind w:firstLine="360"/>
      </w:pPr>
      <w:r>
        <w:rPr>
          <w:rFonts w:cs="Times New Roman"/>
          <w:szCs w:val="24"/>
        </w:rPr>
        <w:lastRenderedPageBreak/>
        <w:t>The term “a</w:t>
      </w:r>
      <w:r w:rsidR="00B65F2D" w:rsidRPr="0055435B">
        <w:rPr>
          <w:rFonts w:cs="Times New Roman"/>
          <w:szCs w:val="24"/>
        </w:rPr>
        <w:t>ccess to higher education</w:t>
      </w:r>
      <w:r>
        <w:rPr>
          <w:rFonts w:cs="Times New Roman"/>
          <w:szCs w:val="24"/>
        </w:rPr>
        <w:t>” means far more than simply increasing aggre</w:t>
      </w:r>
      <w:r w:rsidR="00A949C0">
        <w:rPr>
          <w:rFonts w:cs="Times New Roman"/>
          <w:szCs w:val="24"/>
        </w:rPr>
        <w:t>gate participation rates;  access is about</w:t>
      </w:r>
      <w:r>
        <w:rPr>
          <w:rFonts w:cs="Times New Roman"/>
          <w:szCs w:val="24"/>
        </w:rPr>
        <w:t xml:space="preserve"> </w:t>
      </w:r>
      <w:r w:rsidR="00B65F2D" w:rsidRPr="0055435B">
        <w:rPr>
          <w:rFonts w:cs="Times New Roman"/>
          <w:szCs w:val="24"/>
        </w:rPr>
        <w:t>w</w:t>
      </w:r>
      <w:r>
        <w:rPr>
          <w:rFonts w:cs="Times New Roman"/>
          <w:szCs w:val="24"/>
        </w:rPr>
        <w:t>hich populations are participating</w:t>
      </w:r>
      <w:r w:rsidR="00B65F2D" w:rsidRPr="0055435B">
        <w:rPr>
          <w:rFonts w:cs="Times New Roman"/>
          <w:szCs w:val="24"/>
        </w:rPr>
        <w:t>, or more accurately, which are not</w:t>
      </w:r>
      <w:r>
        <w:rPr>
          <w:rFonts w:cs="Times New Roman"/>
          <w:szCs w:val="24"/>
        </w:rPr>
        <w:t>, what students have access to (in terms of programs and institutions), and whether they are successful in completing their education</w:t>
      </w:r>
      <w:r w:rsidR="00B65F2D" w:rsidRPr="0055435B">
        <w:rPr>
          <w:rFonts w:cs="Times New Roman"/>
          <w:szCs w:val="24"/>
        </w:rPr>
        <w:t xml:space="preserve">. </w:t>
      </w:r>
      <w:r w:rsidR="00833E0F" w:rsidRPr="0055435B">
        <w:rPr>
          <w:rFonts w:cs="Times New Roman"/>
          <w:szCs w:val="24"/>
        </w:rPr>
        <w:t xml:space="preserve">The </w:t>
      </w:r>
      <w:r>
        <w:rPr>
          <w:rFonts w:cs="Times New Roman"/>
          <w:szCs w:val="24"/>
        </w:rPr>
        <w:t xml:space="preserve">overall </w:t>
      </w:r>
      <w:r w:rsidR="00833E0F" w:rsidRPr="0055435B">
        <w:rPr>
          <w:rFonts w:cs="Times New Roman"/>
          <w:szCs w:val="24"/>
        </w:rPr>
        <w:t xml:space="preserve">participation rates of Canadians in higher education are among the highest in the world, though there is variation among the provinces (Kirby, 2010; Jones et al. 2008). The issue in Canada lies primarily in the disparities and inequities of </w:t>
      </w:r>
      <w:r>
        <w:rPr>
          <w:rFonts w:cs="Times New Roman"/>
          <w:szCs w:val="24"/>
        </w:rPr>
        <w:t xml:space="preserve">access, including student success, of </w:t>
      </w:r>
      <w:r w:rsidR="00833E0F" w:rsidRPr="0055435B">
        <w:rPr>
          <w:rFonts w:cs="Times New Roman"/>
          <w:szCs w:val="24"/>
        </w:rPr>
        <w:t>certain populations, whether because of geographic location (</w:t>
      </w:r>
      <w:r>
        <w:rPr>
          <w:rFonts w:cs="Times New Roman"/>
          <w:szCs w:val="24"/>
        </w:rPr>
        <w:t>for example,</w:t>
      </w:r>
      <w:r w:rsidR="00833E0F" w:rsidRPr="0055435B">
        <w:rPr>
          <w:rFonts w:cs="Times New Roman"/>
          <w:szCs w:val="24"/>
        </w:rPr>
        <w:t xml:space="preserve"> rural), financial issues, lack of social capital (first generation learners), or other disparities. </w:t>
      </w:r>
      <w:r w:rsidR="00B01EE6" w:rsidRPr="0055435B">
        <w:rPr>
          <w:rFonts w:cs="Times New Roman"/>
          <w:szCs w:val="24"/>
        </w:rPr>
        <w:t>Those from lower economic groups are less likely to obtain a postsecondary credential than t</w:t>
      </w:r>
      <w:r w:rsidR="00B65F2D" w:rsidRPr="0055435B">
        <w:rPr>
          <w:rFonts w:cs="Times New Roman"/>
          <w:szCs w:val="24"/>
        </w:rPr>
        <w:t>hose of higher economic stat</w:t>
      </w:r>
      <w:r w:rsidR="00A949C0">
        <w:rPr>
          <w:rFonts w:cs="Times New Roman"/>
          <w:szCs w:val="24"/>
        </w:rPr>
        <w:t xml:space="preserve">us. For example, </w:t>
      </w:r>
      <w:proofErr w:type="spellStart"/>
      <w:r w:rsidR="00A949C0">
        <w:rPr>
          <w:rFonts w:cs="Times New Roman"/>
          <w:szCs w:val="24"/>
        </w:rPr>
        <w:t>Frenette</w:t>
      </w:r>
      <w:proofErr w:type="spellEnd"/>
      <w:r w:rsidR="00B65F2D" w:rsidRPr="0055435B">
        <w:rPr>
          <w:rFonts w:cs="Times New Roman"/>
          <w:szCs w:val="24"/>
        </w:rPr>
        <w:t xml:space="preserve"> noted that</w:t>
      </w:r>
      <w:r w:rsidR="001D33C9" w:rsidRPr="0055435B">
        <w:rPr>
          <w:rFonts w:cs="Times New Roman"/>
          <w:szCs w:val="24"/>
        </w:rPr>
        <w:t xml:space="preserve"> 31 percent of youth from the bottom quartile (25%) </w:t>
      </w:r>
      <w:r w:rsidR="00A272AF" w:rsidRPr="0055435B">
        <w:rPr>
          <w:rFonts w:cs="Times New Roman"/>
          <w:szCs w:val="24"/>
        </w:rPr>
        <w:t xml:space="preserve">of the income </w:t>
      </w:r>
      <w:r w:rsidR="001D33C9" w:rsidRPr="0055435B">
        <w:rPr>
          <w:rFonts w:cs="Times New Roman"/>
          <w:szCs w:val="24"/>
        </w:rPr>
        <w:t>distribution attend university compared to 50 percent</w:t>
      </w:r>
      <w:r w:rsidR="00A272AF" w:rsidRPr="0055435B">
        <w:rPr>
          <w:rFonts w:cs="Times New Roman"/>
          <w:szCs w:val="24"/>
        </w:rPr>
        <w:t xml:space="preserve"> in the top </w:t>
      </w:r>
      <w:r w:rsidR="001D33C9" w:rsidRPr="0055435B">
        <w:rPr>
          <w:rFonts w:cs="Times New Roman"/>
          <w:szCs w:val="24"/>
        </w:rPr>
        <w:t xml:space="preserve">quartile </w:t>
      </w:r>
      <w:r w:rsidR="00A949C0">
        <w:rPr>
          <w:rFonts w:cs="Times New Roman"/>
          <w:szCs w:val="24"/>
        </w:rPr>
        <w:t>(</w:t>
      </w:r>
      <w:proofErr w:type="spellStart"/>
      <w:r w:rsidR="00A949C0">
        <w:rPr>
          <w:rFonts w:cs="Times New Roman"/>
          <w:szCs w:val="24"/>
        </w:rPr>
        <w:t>Frenette</w:t>
      </w:r>
      <w:proofErr w:type="spellEnd"/>
      <w:r w:rsidR="00A949C0">
        <w:rPr>
          <w:rFonts w:cs="Times New Roman"/>
          <w:szCs w:val="24"/>
        </w:rPr>
        <w:t xml:space="preserve"> 2007</w:t>
      </w:r>
      <w:r w:rsidR="00A272AF" w:rsidRPr="0055435B">
        <w:rPr>
          <w:rFonts w:cs="Times New Roman"/>
          <w:szCs w:val="24"/>
        </w:rPr>
        <w:t xml:space="preserve">). </w:t>
      </w:r>
      <w:r w:rsidR="00B01EE6" w:rsidRPr="0055435B">
        <w:rPr>
          <w:rFonts w:cs="Times New Roman"/>
          <w:szCs w:val="24"/>
        </w:rPr>
        <w:t xml:space="preserve">Moreover, </w:t>
      </w:r>
      <w:r>
        <w:rPr>
          <w:rFonts w:cs="Times New Roman"/>
          <w:szCs w:val="24"/>
        </w:rPr>
        <w:t xml:space="preserve">Canada’s </w:t>
      </w:r>
      <w:r w:rsidR="00B01EE6" w:rsidRPr="0055435B">
        <w:rPr>
          <w:rFonts w:cs="Times New Roman"/>
          <w:szCs w:val="24"/>
        </w:rPr>
        <w:t>Aboriginal populations have significantly lower rates of participation when compared with the general population as a whole. Further, those students who are admitted may not have the social capital in terms of family support and familiarity with the system of education in order to successfully complete a program. The ability to plan for a career beyond the credential may be adversely affected by</w:t>
      </w:r>
      <w:r>
        <w:rPr>
          <w:rFonts w:cs="Times New Roman"/>
          <w:szCs w:val="24"/>
        </w:rPr>
        <w:t xml:space="preserve"> a</w:t>
      </w:r>
      <w:r w:rsidR="00B01EE6" w:rsidRPr="0055435B">
        <w:rPr>
          <w:rFonts w:cs="Times New Roman"/>
          <w:szCs w:val="24"/>
        </w:rPr>
        <w:t xml:space="preserve"> lack of social capital, as with the pursuit of professional or graduate programs.</w:t>
      </w:r>
      <w:r w:rsidR="00B01EE6" w:rsidRPr="0055435B">
        <w:rPr>
          <w:rFonts w:cs="Times New Roman"/>
          <w:b/>
          <w:szCs w:val="24"/>
        </w:rPr>
        <w:t xml:space="preserve"> </w:t>
      </w:r>
    </w:p>
    <w:p w14:paraId="304C1F45" w14:textId="3D29C319" w:rsidR="00833E0F" w:rsidRDefault="00A36469" w:rsidP="008974BC">
      <w:pPr>
        <w:spacing w:after="0" w:line="480" w:lineRule="auto"/>
        <w:ind w:firstLine="360"/>
        <w:rPr>
          <w:rFonts w:cs="Times New Roman"/>
          <w:szCs w:val="24"/>
        </w:rPr>
      </w:pPr>
      <w:r w:rsidRPr="0055435B">
        <w:rPr>
          <w:rFonts w:cs="Times New Roman"/>
          <w:szCs w:val="24"/>
        </w:rPr>
        <w:t>Canada offers an intriguing</w:t>
      </w:r>
      <w:r w:rsidR="00D71B97">
        <w:rPr>
          <w:rFonts w:cs="Times New Roman"/>
          <w:szCs w:val="24"/>
        </w:rPr>
        <w:t xml:space="preserve"> case study of access to higher education given it high levels of participation, but also the challenges </w:t>
      </w:r>
      <w:r w:rsidR="008974BC">
        <w:rPr>
          <w:rFonts w:cs="Times New Roman"/>
          <w:szCs w:val="24"/>
        </w:rPr>
        <w:t xml:space="preserve">that Canadian higher education faces in </w:t>
      </w:r>
      <w:r w:rsidR="00D71B97">
        <w:rPr>
          <w:rFonts w:cs="Times New Roman"/>
          <w:szCs w:val="24"/>
        </w:rPr>
        <w:t xml:space="preserve">addressing the needs of an extraordinarily diverse population within the second largest country on the planet. The Canadian approach to higher education policy is highly decentralized, </w:t>
      </w:r>
      <w:r w:rsidR="001F4D1E">
        <w:rPr>
          <w:rFonts w:cs="Times New Roman"/>
          <w:szCs w:val="24"/>
        </w:rPr>
        <w:t>and there is an opportunity to</w:t>
      </w:r>
      <w:r w:rsidRPr="0055435B">
        <w:rPr>
          <w:rFonts w:cs="Times New Roman"/>
          <w:szCs w:val="24"/>
        </w:rPr>
        <w:t xml:space="preserve"> look at how various provinces have focused on certain aspects and methods of increasing access to post-secondary education. </w:t>
      </w:r>
    </w:p>
    <w:p w14:paraId="3ADBCA60" w14:textId="643571A6" w:rsidR="00B01EE6" w:rsidRPr="008974BC" w:rsidRDefault="00833E0F" w:rsidP="008974BC">
      <w:pPr>
        <w:spacing w:after="0" w:line="480" w:lineRule="auto"/>
        <w:ind w:firstLine="360"/>
      </w:pPr>
      <w:r>
        <w:lastRenderedPageBreak/>
        <w:t xml:space="preserve">While many of the most important mechanisms for increasing access and student success take place at the level of the institution or program, there are a range of policy approaches available to governments to directly or indirectly influence access to higher education. The objective of this paper is to provide a systematic overview of key policy options available at the system-level. Drawing largely from the Canadian experience (Jones, Shanahan, </w:t>
      </w:r>
      <w:proofErr w:type="spellStart"/>
      <w:r>
        <w:t>Padure</w:t>
      </w:r>
      <w:proofErr w:type="spellEnd"/>
      <w:r>
        <w:t xml:space="preserve">, Lamoureux &amp; Gregor, 2008), the paper will provide a macro analysis of government policy approaches designed to increase access, and assess these mechanisms based on current research in the field. </w:t>
      </w:r>
    </w:p>
    <w:p w14:paraId="22A9E745" w14:textId="4FA36465" w:rsidR="00B01EE6" w:rsidRPr="0055435B" w:rsidRDefault="00B01EE6" w:rsidP="008974BC">
      <w:pPr>
        <w:spacing w:after="0" w:line="480" w:lineRule="auto"/>
        <w:ind w:firstLine="360"/>
        <w:rPr>
          <w:rFonts w:cs="Times New Roman"/>
          <w:szCs w:val="24"/>
        </w:rPr>
      </w:pPr>
      <w:r w:rsidRPr="0055435B">
        <w:rPr>
          <w:rFonts w:cs="Times New Roman"/>
          <w:szCs w:val="24"/>
        </w:rPr>
        <w:t>This paper will review and discuss four major types of policy approaches:</w:t>
      </w:r>
    </w:p>
    <w:p w14:paraId="6B19FB62" w14:textId="77777777" w:rsidR="00B01EE6" w:rsidRPr="0055435B" w:rsidRDefault="00B01EE6" w:rsidP="008974BC">
      <w:pPr>
        <w:pStyle w:val="ListParagraph"/>
        <w:numPr>
          <w:ilvl w:val="0"/>
          <w:numId w:val="1"/>
        </w:numPr>
        <w:spacing w:after="0" w:line="480" w:lineRule="auto"/>
        <w:rPr>
          <w:rFonts w:cs="Times New Roman"/>
          <w:szCs w:val="24"/>
        </w:rPr>
      </w:pPr>
      <w:r w:rsidRPr="0055435B">
        <w:rPr>
          <w:rFonts w:cs="Times New Roman"/>
          <w:i/>
          <w:szCs w:val="24"/>
        </w:rPr>
        <w:t>Government funding tools</w:t>
      </w:r>
      <w:r w:rsidRPr="0055435B">
        <w:rPr>
          <w:rFonts w:cs="Times New Roman"/>
          <w:szCs w:val="24"/>
        </w:rPr>
        <w:t>: Including the direct support of system expansion, the use of student financial assistance mechanisms to support participation, regulating tuition, targeted funding for special groups, and performance-based funding.</w:t>
      </w:r>
    </w:p>
    <w:p w14:paraId="5ECDDD14" w14:textId="0A827EF0" w:rsidR="00B01EE6" w:rsidRPr="0055435B" w:rsidRDefault="00B01EE6" w:rsidP="008974BC">
      <w:pPr>
        <w:pStyle w:val="ListParagraph"/>
        <w:numPr>
          <w:ilvl w:val="0"/>
          <w:numId w:val="1"/>
        </w:numPr>
        <w:spacing w:after="0" w:line="480" w:lineRule="auto"/>
        <w:rPr>
          <w:rFonts w:cs="Times New Roman"/>
          <w:szCs w:val="24"/>
        </w:rPr>
      </w:pPr>
      <w:r w:rsidRPr="0055435B">
        <w:rPr>
          <w:rFonts w:cs="Times New Roman"/>
          <w:i/>
          <w:szCs w:val="24"/>
        </w:rPr>
        <w:t>Involving community</w:t>
      </w:r>
      <w:r w:rsidRPr="0055435B">
        <w:rPr>
          <w:rFonts w:cs="Times New Roman"/>
          <w:szCs w:val="24"/>
        </w:rPr>
        <w:t xml:space="preserve">: Including initiatives by government to support community-based access initiatives, such as supporting organizations working with disadvantaged populations, outreach </w:t>
      </w:r>
      <w:proofErr w:type="gramStart"/>
      <w:r w:rsidRPr="0055435B">
        <w:rPr>
          <w:rFonts w:cs="Times New Roman"/>
          <w:szCs w:val="24"/>
        </w:rPr>
        <w:t>initiatives,  and</w:t>
      </w:r>
      <w:proofErr w:type="gramEnd"/>
      <w:r w:rsidRPr="0055435B">
        <w:rPr>
          <w:rFonts w:cs="Times New Roman"/>
          <w:szCs w:val="24"/>
        </w:rPr>
        <w:t xml:space="preserve"> expanding geographic access.</w:t>
      </w:r>
    </w:p>
    <w:p w14:paraId="1AA7397C" w14:textId="77777777" w:rsidR="00B01EE6" w:rsidRPr="0055435B" w:rsidRDefault="00B01EE6" w:rsidP="008974BC">
      <w:pPr>
        <w:pStyle w:val="ListParagraph"/>
        <w:numPr>
          <w:ilvl w:val="0"/>
          <w:numId w:val="1"/>
        </w:numPr>
        <w:spacing w:after="0" w:line="480" w:lineRule="auto"/>
        <w:rPr>
          <w:rFonts w:cs="Times New Roman"/>
          <w:szCs w:val="24"/>
        </w:rPr>
      </w:pPr>
      <w:r w:rsidRPr="0055435B">
        <w:rPr>
          <w:rFonts w:cs="Times New Roman"/>
          <w:i/>
          <w:szCs w:val="24"/>
        </w:rPr>
        <w:t>Rethinking system design</w:t>
      </w:r>
      <w:r w:rsidRPr="0055435B">
        <w:rPr>
          <w:rFonts w:cs="Times New Roman"/>
          <w:szCs w:val="24"/>
        </w:rPr>
        <w:t>: Including K-16 initiatives, revisiting the roles of institutions (and the creation of hybrid institutional types), and modifying governance and coordination structures.</w:t>
      </w:r>
    </w:p>
    <w:p w14:paraId="1C550F22" w14:textId="77777777" w:rsidR="00B01EE6" w:rsidRPr="0055435B" w:rsidRDefault="00B01EE6" w:rsidP="008974BC">
      <w:pPr>
        <w:pStyle w:val="ListParagraph"/>
        <w:numPr>
          <w:ilvl w:val="0"/>
          <w:numId w:val="1"/>
        </w:numPr>
        <w:spacing w:after="0" w:line="480" w:lineRule="auto"/>
        <w:rPr>
          <w:rFonts w:cs="Times New Roman"/>
          <w:szCs w:val="24"/>
        </w:rPr>
      </w:pPr>
      <w:r w:rsidRPr="0055435B">
        <w:rPr>
          <w:rFonts w:cs="Times New Roman"/>
          <w:i/>
          <w:szCs w:val="24"/>
        </w:rPr>
        <w:t>Measuring success</w:t>
      </w:r>
      <w:r w:rsidRPr="0055435B">
        <w:rPr>
          <w:rFonts w:cs="Times New Roman"/>
          <w:szCs w:val="24"/>
        </w:rPr>
        <w:t>: Including the clarification of objectives of access policies, and the role of data systems and policy research in monitoring and evaluating system outcomes.</w:t>
      </w:r>
    </w:p>
    <w:p w14:paraId="4F2C7D13" w14:textId="77777777" w:rsidR="00B01EE6" w:rsidRDefault="00B01EE6" w:rsidP="0055435B">
      <w:pPr>
        <w:spacing w:line="360" w:lineRule="auto"/>
        <w:rPr>
          <w:rFonts w:cs="Times New Roman"/>
          <w:szCs w:val="24"/>
        </w:rPr>
      </w:pPr>
    </w:p>
    <w:p w14:paraId="53D59F37" w14:textId="77777777" w:rsidR="0069389B" w:rsidRPr="0055435B" w:rsidRDefault="0069389B" w:rsidP="0055435B">
      <w:pPr>
        <w:spacing w:line="360" w:lineRule="auto"/>
        <w:rPr>
          <w:rFonts w:cs="Times New Roman"/>
          <w:szCs w:val="24"/>
        </w:rPr>
      </w:pPr>
    </w:p>
    <w:p w14:paraId="02B88558" w14:textId="77777777" w:rsidR="00E3637D" w:rsidRPr="0055435B" w:rsidRDefault="00E3637D" w:rsidP="0055435B">
      <w:pPr>
        <w:spacing w:line="360" w:lineRule="auto"/>
        <w:rPr>
          <w:rFonts w:cs="Times New Roman"/>
          <w:b/>
          <w:szCs w:val="24"/>
        </w:rPr>
      </w:pPr>
    </w:p>
    <w:p w14:paraId="14A421E4" w14:textId="77777777" w:rsidR="00B01EE6" w:rsidRPr="001D578E" w:rsidRDefault="00B01EE6" w:rsidP="0055435B">
      <w:pPr>
        <w:spacing w:line="360" w:lineRule="auto"/>
        <w:rPr>
          <w:rFonts w:cs="Times New Roman"/>
          <w:b/>
          <w:szCs w:val="24"/>
        </w:rPr>
      </w:pPr>
      <w:r w:rsidRPr="001D578E">
        <w:rPr>
          <w:rFonts w:cs="Times New Roman"/>
          <w:b/>
          <w:szCs w:val="24"/>
        </w:rPr>
        <w:lastRenderedPageBreak/>
        <w:t>Part I: Government funding tools</w:t>
      </w:r>
    </w:p>
    <w:p w14:paraId="13A8570E" w14:textId="77777777" w:rsidR="00BA6CBC" w:rsidRDefault="00BA6CBC" w:rsidP="001F4D1E">
      <w:pPr>
        <w:spacing w:line="480" w:lineRule="auto"/>
        <w:ind w:firstLine="720"/>
        <w:rPr>
          <w:rFonts w:cs="Times New Roman"/>
          <w:szCs w:val="24"/>
        </w:rPr>
      </w:pPr>
      <w:r w:rsidRPr="0055435B">
        <w:rPr>
          <w:rFonts w:cs="Times New Roman"/>
          <w:szCs w:val="24"/>
        </w:rPr>
        <w:t>Funding tools used by government to affect access to systems of higher education have changed significantly over the past century.</w:t>
      </w:r>
      <w:r w:rsidRPr="0055435B">
        <w:rPr>
          <w:rFonts w:cs="Times New Roman"/>
          <w:b/>
          <w:szCs w:val="24"/>
        </w:rPr>
        <w:t xml:space="preserve"> </w:t>
      </w:r>
      <w:r w:rsidRPr="0055435B">
        <w:rPr>
          <w:rFonts w:cs="Times New Roman"/>
          <w:szCs w:val="24"/>
        </w:rPr>
        <w:t>Under the purview of human capital theory, the expansion of the system was thought to lead directly to increased economic growth as well as private and social gains. The “more is better” approach to higher education focused on the assumption that “more students would ‘automatically’ lead to more equality of opportunities, as well as more economic and social benefits” (</w:t>
      </w:r>
      <w:proofErr w:type="spellStart"/>
      <w:r w:rsidRPr="0055435B">
        <w:rPr>
          <w:rFonts w:cs="Times New Roman"/>
          <w:szCs w:val="24"/>
        </w:rPr>
        <w:t>Maassen</w:t>
      </w:r>
      <w:proofErr w:type="spellEnd"/>
      <w:r w:rsidRPr="0055435B">
        <w:rPr>
          <w:rFonts w:cs="Times New Roman"/>
          <w:szCs w:val="24"/>
        </w:rPr>
        <w:t xml:space="preserve">, </w:t>
      </w:r>
      <w:proofErr w:type="spellStart"/>
      <w:r w:rsidRPr="0055435B">
        <w:rPr>
          <w:rFonts w:cs="Times New Roman"/>
          <w:szCs w:val="24"/>
        </w:rPr>
        <w:t>Magalhaes</w:t>
      </w:r>
      <w:proofErr w:type="spellEnd"/>
      <w:r w:rsidRPr="0055435B">
        <w:rPr>
          <w:rFonts w:cs="Times New Roman"/>
          <w:szCs w:val="24"/>
        </w:rPr>
        <w:t xml:space="preserve"> &amp; Amaral, </w:t>
      </w:r>
      <w:r>
        <w:rPr>
          <w:rFonts w:cs="Times New Roman"/>
          <w:szCs w:val="24"/>
        </w:rPr>
        <w:t>2007</w:t>
      </w:r>
      <w:r w:rsidRPr="0055435B">
        <w:rPr>
          <w:rFonts w:cs="Times New Roman"/>
          <w:szCs w:val="24"/>
        </w:rPr>
        <w:t xml:space="preserve">, p. 6). Human capital theory provided an impetus to expand the higher education system with the promise of private and public returns that would lead to economic prosperity and growth. </w:t>
      </w:r>
    </w:p>
    <w:p w14:paraId="3C206ADC" w14:textId="77777777" w:rsidR="00BA6CBC" w:rsidRDefault="00BA6CBC" w:rsidP="001F4D1E">
      <w:pPr>
        <w:spacing w:line="480" w:lineRule="auto"/>
        <w:rPr>
          <w:rFonts w:cs="Times New Roman"/>
          <w:szCs w:val="24"/>
        </w:rPr>
      </w:pPr>
      <w:r>
        <w:rPr>
          <w:rFonts w:cs="Times New Roman"/>
          <w:szCs w:val="24"/>
        </w:rPr>
        <w:tab/>
      </w:r>
      <w:proofErr w:type="spellStart"/>
      <w:proofErr w:type="gramStart"/>
      <w:r>
        <w:rPr>
          <w:rFonts w:cs="Times New Roman"/>
          <w:szCs w:val="24"/>
        </w:rPr>
        <w:t>Maassen</w:t>
      </w:r>
      <w:proofErr w:type="spellEnd"/>
      <w:r>
        <w:rPr>
          <w:rFonts w:cs="Times New Roman"/>
          <w:szCs w:val="24"/>
        </w:rPr>
        <w:t xml:space="preserve">,  </w:t>
      </w:r>
      <w:proofErr w:type="spellStart"/>
      <w:r>
        <w:rPr>
          <w:rFonts w:cs="Times New Roman"/>
          <w:szCs w:val="24"/>
        </w:rPr>
        <w:t>Magalhaes</w:t>
      </w:r>
      <w:proofErr w:type="spellEnd"/>
      <w:proofErr w:type="gramEnd"/>
      <w:r>
        <w:rPr>
          <w:rFonts w:cs="Times New Roman"/>
          <w:szCs w:val="24"/>
        </w:rPr>
        <w:t xml:space="preserve"> and Amaral (2007) argue that many OECD governments began to question whether increasing investments in higher education were offering appropriate returns in terms of social benefits. In what they termed the “more is problematic” phase, governments began to look at new ways of funding higher education to rebalance private and public contributions to more closely resemble private and social returns on investment.  </w:t>
      </w:r>
    </w:p>
    <w:p w14:paraId="3CDC35AD" w14:textId="1372406F" w:rsidR="001F4D1E" w:rsidRPr="0055435B" w:rsidRDefault="00BA6CBC" w:rsidP="001F4D1E">
      <w:pPr>
        <w:spacing w:line="480" w:lineRule="auto"/>
        <w:rPr>
          <w:rFonts w:cs="Times New Roman"/>
          <w:szCs w:val="24"/>
        </w:rPr>
      </w:pPr>
      <w:r>
        <w:rPr>
          <w:rFonts w:cs="Times New Roman"/>
          <w:szCs w:val="24"/>
        </w:rPr>
        <w:tab/>
        <w:t>By the turn of the century government policies towards access entered a “more but different” p</w:t>
      </w:r>
      <w:r w:rsidR="004F0FD3">
        <w:rPr>
          <w:rFonts w:cs="Times New Roman"/>
          <w:szCs w:val="24"/>
        </w:rPr>
        <w:t>hase in which governments began</w:t>
      </w:r>
      <w:r>
        <w:rPr>
          <w:rFonts w:cs="Times New Roman"/>
          <w:szCs w:val="24"/>
        </w:rPr>
        <w:t xml:space="preserve"> to reposition higher education (and access to a higher education) as a key component in economic development. In this light, the push for greater access became linked to the need for highly skilled human resources and governments became increasingly interested in overall participation rates, but also in supporting the expansion of programs that were viewed as being of strategic importance to the new economy, such as the science, technology, engineering and mathematics (STEM) fields.</w:t>
      </w:r>
      <w:r w:rsidR="001F4D1E">
        <w:rPr>
          <w:rFonts w:cs="Times New Roman"/>
          <w:szCs w:val="24"/>
        </w:rPr>
        <w:t xml:space="preserve"> </w:t>
      </w:r>
      <w:r w:rsidR="001F4D1E" w:rsidRPr="001F4D1E">
        <w:rPr>
          <w:rFonts w:cs="Times New Roman"/>
          <w:szCs w:val="24"/>
        </w:rPr>
        <w:t xml:space="preserve">Between 2004 and 2008, the provinces of Ontario (2005), Newfoundland and Labrador (2005), Alberta (2006), British Columbia (2007), Saskatchewan (2007), and New Brunswick (2007, 2008) initiated broad </w:t>
      </w:r>
      <w:r w:rsidR="001F4D1E" w:rsidRPr="001F4D1E">
        <w:rPr>
          <w:rFonts w:cs="Times New Roman"/>
          <w:szCs w:val="24"/>
        </w:rPr>
        <w:lastRenderedPageBreak/>
        <w:t xml:space="preserve">review of their higher education sectors. Each of the reports emerging from these investigations emphasized the need to increase system capacity and improve access. </w:t>
      </w:r>
    </w:p>
    <w:p w14:paraId="31D9FF07" w14:textId="77777777" w:rsidR="006D69C2" w:rsidRDefault="001D578E" w:rsidP="00EC5B36">
      <w:pPr>
        <w:spacing w:line="480" w:lineRule="auto"/>
        <w:ind w:firstLine="720"/>
        <w:rPr>
          <w:rFonts w:cs="Times New Roman"/>
          <w:szCs w:val="24"/>
        </w:rPr>
      </w:pPr>
      <w:r>
        <w:rPr>
          <w:rFonts w:cs="Times New Roman"/>
          <w:szCs w:val="24"/>
        </w:rPr>
        <w:t>Policy mechanisms that support increasing access through the use of government funding tools are probably the most commonly used instruments in the higher education public policy repertoire. While human capital theory continues to play an important role in providing a theoretical foundation for</w:t>
      </w:r>
      <w:r w:rsidR="0050407A">
        <w:rPr>
          <w:rFonts w:cs="Times New Roman"/>
          <w:szCs w:val="24"/>
        </w:rPr>
        <w:t xml:space="preserve"> government support of increasing participation, most governments have come to adopt a much more sophisticated understanding of the importance of human competencies and skills in relation to the goals and objectives of a knowledge economy, and </w:t>
      </w:r>
      <w:r w:rsidR="006D69C2">
        <w:rPr>
          <w:rFonts w:cs="Times New Roman"/>
          <w:szCs w:val="24"/>
        </w:rPr>
        <w:t>in relation to</w:t>
      </w:r>
      <w:r w:rsidR="0050407A">
        <w:rPr>
          <w:rFonts w:cs="Times New Roman"/>
          <w:szCs w:val="24"/>
        </w:rPr>
        <w:t xml:space="preserve"> government policies designed to strengthen national research and innovation systems.</w:t>
      </w:r>
    </w:p>
    <w:p w14:paraId="6777FD62" w14:textId="06376367" w:rsidR="00FE5A0E" w:rsidRPr="00EC5B36" w:rsidRDefault="00EC3014" w:rsidP="001F4D1E">
      <w:pPr>
        <w:spacing w:line="480" w:lineRule="auto"/>
        <w:ind w:firstLine="720"/>
        <w:rPr>
          <w:rFonts w:cs="Times New Roman"/>
          <w:szCs w:val="24"/>
        </w:rPr>
      </w:pPr>
      <w:r>
        <w:rPr>
          <w:rFonts w:cs="Times New Roman"/>
          <w:szCs w:val="24"/>
        </w:rPr>
        <w:t>There are four</w:t>
      </w:r>
      <w:r w:rsidR="006D69C2">
        <w:rPr>
          <w:rFonts w:cs="Times New Roman"/>
          <w:szCs w:val="24"/>
        </w:rPr>
        <w:t xml:space="preserve"> major types of govern</w:t>
      </w:r>
      <w:r w:rsidR="00B629DA">
        <w:rPr>
          <w:rFonts w:cs="Times New Roman"/>
          <w:szCs w:val="24"/>
        </w:rPr>
        <w:t>ment</w:t>
      </w:r>
      <w:r w:rsidR="006D69C2">
        <w:rPr>
          <w:rFonts w:cs="Times New Roman"/>
          <w:szCs w:val="24"/>
        </w:rPr>
        <w:t xml:space="preserve"> funding tools related to accessibility. The first, and most common,</w:t>
      </w:r>
      <w:r w:rsidR="00B629DA">
        <w:rPr>
          <w:rFonts w:cs="Times New Roman"/>
          <w:szCs w:val="24"/>
        </w:rPr>
        <w:t xml:space="preserve"> tool</w:t>
      </w:r>
      <w:r w:rsidR="006D69C2">
        <w:rPr>
          <w:rFonts w:cs="Times New Roman"/>
          <w:szCs w:val="24"/>
        </w:rPr>
        <w:t xml:space="preserve"> is direct government support for system </w:t>
      </w:r>
      <w:r w:rsidR="00B629DA">
        <w:rPr>
          <w:rFonts w:cs="Times New Roman"/>
          <w:szCs w:val="24"/>
        </w:rPr>
        <w:t>expansion. As government objectives become more focused on access for specific populations, direct government funding is often targeted on supporting access for specific groups</w:t>
      </w:r>
      <w:r>
        <w:rPr>
          <w:rFonts w:cs="Times New Roman"/>
          <w:szCs w:val="24"/>
        </w:rPr>
        <w:t xml:space="preserve"> (targeted funding)</w:t>
      </w:r>
      <w:r w:rsidR="00B629DA">
        <w:rPr>
          <w:rFonts w:cs="Times New Roman"/>
          <w:szCs w:val="24"/>
        </w:rPr>
        <w:t>. The second type of government funding focuses on student financial support mechanisms designed to support participation, including the provisi</w:t>
      </w:r>
      <w:r w:rsidR="004F0FD3">
        <w:rPr>
          <w:rFonts w:cs="Times New Roman"/>
          <w:szCs w:val="24"/>
        </w:rPr>
        <w:t>on of loans and grants, as well as mechanisms designed to encourage</w:t>
      </w:r>
      <w:r w:rsidR="00B629DA">
        <w:rPr>
          <w:rFonts w:cs="Times New Roman"/>
          <w:szCs w:val="24"/>
        </w:rPr>
        <w:t xml:space="preserve"> families to save and contribute to the costs of a child’s education. </w:t>
      </w:r>
      <w:r>
        <w:rPr>
          <w:rFonts w:cs="Times New Roman"/>
          <w:szCs w:val="24"/>
        </w:rPr>
        <w:t xml:space="preserve">The third type of policy mechanism is regulating </w:t>
      </w:r>
      <w:r w:rsidR="004F0FD3">
        <w:rPr>
          <w:rFonts w:cs="Times New Roman"/>
          <w:szCs w:val="24"/>
        </w:rPr>
        <w:t xml:space="preserve">costs, especially </w:t>
      </w:r>
      <w:r>
        <w:rPr>
          <w:rFonts w:cs="Times New Roman"/>
          <w:szCs w:val="24"/>
        </w:rPr>
        <w:t xml:space="preserve">tuition fees. </w:t>
      </w:r>
      <w:r w:rsidR="00986281">
        <w:rPr>
          <w:rFonts w:cs="Times New Roman"/>
          <w:szCs w:val="24"/>
        </w:rPr>
        <w:t>The fourth</w:t>
      </w:r>
      <w:r w:rsidR="00652677">
        <w:rPr>
          <w:rFonts w:cs="Times New Roman"/>
          <w:szCs w:val="24"/>
        </w:rPr>
        <w:t xml:space="preserve"> type of tool</w:t>
      </w:r>
      <w:r w:rsidR="00EC5B36">
        <w:rPr>
          <w:rFonts w:cs="Times New Roman"/>
          <w:szCs w:val="24"/>
        </w:rPr>
        <w:t xml:space="preserve"> is </w:t>
      </w:r>
      <w:r w:rsidR="00652677">
        <w:rPr>
          <w:rFonts w:cs="Times New Roman"/>
          <w:szCs w:val="24"/>
        </w:rPr>
        <w:t>performance-based funding. E</w:t>
      </w:r>
      <w:r w:rsidR="00B01EE6" w:rsidRPr="0055435B">
        <w:rPr>
          <w:rFonts w:cs="Times New Roman"/>
          <w:szCs w:val="24"/>
        </w:rPr>
        <w:t>xamples</w:t>
      </w:r>
      <w:r w:rsidR="004F0FD3">
        <w:rPr>
          <w:rFonts w:cs="Times New Roman"/>
          <w:szCs w:val="24"/>
        </w:rPr>
        <w:t xml:space="preserve"> of each of these four</w:t>
      </w:r>
      <w:r w:rsidR="00652677">
        <w:rPr>
          <w:rFonts w:cs="Times New Roman"/>
          <w:szCs w:val="24"/>
        </w:rPr>
        <w:t xml:space="preserve"> approaches will be discussed.</w:t>
      </w:r>
      <w:r w:rsidR="00B01EE6" w:rsidRPr="0055435B">
        <w:rPr>
          <w:rFonts w:cs="Times New Roman"/>
          <w:szCs w:val="24"/>
        </w:rPr>
        <w:t xml:space="preserve"> </w:t>
      </w:r>
    </w:p>
    <w:p w14:paraId="211E90A2" w14:textId="63E99903" w:rsidR="001F4D1E" w:rsidRPr="001F4D1E" w:rsidRDefault="00BA6CBC" w:rsidP="001F4D1E">
      <w:pPr>
        <w:pStyle w:val="ListParagraph"/>
        <w:numPr>
          <w:ilvl w:val="1"/>
          <w:numId w:val="4"/>
        </w:numPr>
        <w:spacing w:after="0" w:line="480" w:lineRule="auto"/>
        <w:rPr>
          <w:rFonts w:cs="Times New Roman"/>
          <w:i/>
          <w:szCs w:val="24"/>
        </w:rPr>
      </w:pPr>
      <w:r w:rsidRPr="001F4D1E">
        <w:rPr>
          <w:rFonts w:cs="Times New Roman"/>
          <w:i/>
          <w:szCs w:val="24"/>
        </w:rPr>
        <w:t>Funding Expansion and System Coordination</w:t>
      </w:r>
      <w:r w:rsidR="00B01EE6" w:rsidRPr="001F4D1E">
        <w:rPr>
          <w:rFonts w:cs="Times New Roman"/>
          <w:i/>
          <w:szCs w:val="24"/>
        </w:rPr>
        <w:t xml:space="preserve"> </w:t>
      </w:r>
    </w:p>
    <w:p w14:paraId="2127213B" w14:textId="7F489AAE" w:rsidR="00CA7619" w:rsidRDefault="00EC5B36" w:rsidP="001F4D1E">
      <w:pPr>
        <w:spacing w:after="0" w:line="480" w:lineRule="auto"/>
        <w:ind w:firstLine="720"/>
        <w:rPr>
          <w:rFonts w:cs="Times New Roman"/>
          <w:szCs w:val="24"/>
        </w:rPr>
      </w:pPr>
      <w:r>
        <w:rPr>
          <w:rFonts w:cs="Times New Roman"/>
          <w:szCs w:val="24"/>
        </w:rPr>
        <w:t>The direct funding of system expansion in order to increase access is a common policy tool in Canadian higher education</w:t>
      </w:r>
      <w:r w:rsidR="00777516">
        <w:rPr>
          <w:rFonts w:cs="Times New Roman"/>
          <w:szCs w:val="24"/>
        </w:rPr>
        <w:t xml:space="preserve"> (Kirby, 2010)</w:t>
      </w:r>
      <w:r>
        <w:rPr>
          <w:rFonts w:cs="Times New Roman"/>
          <w:szCs w:val="24"/>
        </w:rPr>
        <w:t xml:space="preserve">. The Government of Canada provided incentives for universities to expand in order to admit returning veterans following the Second </w:t>
      </w:r>
      <w:r>
        <w:rPr>
          <w:rFonts w:cs="Times New Roman"/>
          <w:szCs w:val="24"/>
        </w:rPr>
        <w:lastRenderedPageBreak/>
        <w:t>World War through the use of direct per-veteran grants to institutions.  While the federal government’s investments in the grow</w:t>
      </w:r>
      <w:r w:rsidR="00CA7619">
        <w:rPr>
          <w:rFonts w:cs="Times New Roman"/>
          <w:szCs w:val="24"/>
        </w:rPr>
        <w:t xml:space="preserve">th of higher education continued, the mechanism shifted </w:t>
      </w:r>
      <w:r>
        <w:rPr>
          <w:rFonts w:cs="Times New Roman"/>
          <w:szCs w:val="24"/>
        </w:rPr>
        <w:t>to take the form of tax point and cash transfers to the provinces in recognition of the constit</w:t>
      </w:r>
      <w:r w:rsidR="00CA7619">
        <w:rPr>
          <w:rFonts w:cs="Times New Roman"/>
          <w:szCs w:val="24"/>
        </w:rPr>
        <w:t>utional responsibility of the provinces for education</w:t>
      </w:r>
      <w:r w:rsidR="00777516">
        <w:rPr>
          <w:rFonts w:cs="Times New Roman"/>
          <w:szCs w:val="24"/>
        </w:rPr>
        <w:t xml:space="preserve"> (Jones, 1996)</w:t>
      </w:r>
      <w:r w:rsidR="00CA7619">
        <w:rPr>
          <w:rFonts w:cs="Times New Roman"/>
          <w:szCs w:val="24"/>
        </w:rPr>
        <w:t>. The provincial governments became the primary level of government for regulating and directly funding universities and other postsecondary institutions, and most provinces provided some form of direct support for system expansion. There continues to be a relationship between student enrolment and government grants in many provinces.</w:t>
      </w:r>
    </w:p>
    <w:p w14:paraId="41C861E4" w14:textId="4989B439" w:rsidR="00777516" w:rsidRDefault="00CA7619" w:rsidP="00083BAB">
      <w:pPr>
        <w:spacing w:after="0" w:line="480" w:lineRule="auto"/>
        <w:rPr>
          <w:rFonts w:cs="Times New Roman"/>
          <w:szCs w:val="24"/>
        </w:rPr>
      </w:pPr>
      <w:r>
        <w:rPr>
          <w:rFonts w:cs="Times New Roman"/>
          <w:szCs w:val="24"/>
        </w:rPr>
        <w:tab/>
        <w:t xml:space="preserve">For example, the major expansion of the Ontario higher education system was accomplished by adjusting the formula funding system so that it was more responsive to undergraduate enrolment growth. Institutions received additional government funding for enrolling more students.  </w:t>
      </w:r>
      <w:r w:rsidR="00777516">
        <w:rPr>
          <w:rFonts w:cs="Times New Roman"/>
          <w:szCs w:val="24"/>
        </w:rPr>
        <w:t xml:space="preserve">A government review by former Premier Bob Rae (Ontario, 2005) argued in </w:t>
      </w:r>
      <w:proofErr w:type="spellStart"/>
      <w:r w:rsidR="00777516">
        <w:rPr>
          <w:rFonts w:cs="Times New Roman"/>
          <w:szCs w:val="24"/>
        </w:rPr>
        <w:t>favour</w:t>
      </w:r>
      <w:proofErr w:type="spellEnd"/>
      <w:r w:rsidR="00777516">
        <w:rPr>
          <w:rFonts w:cs="Times New Roman"/>
          <w:szCs w:val="24"/>
        </w:rPr>
        <w:t xml:space="preserve"> of additional expansion focusing on graduate education, and  Ontario committed </w:t>
      </w:r>
      <w:r w:rsidR="00EC5B36" w:rsidRPr="0055435B">
        <w:rPr>
          <w:rFonts w:cs="Times New Roman"/>
          <w:szCs w:val="24"/>
        </w:rPr>
        <w:t xml:space="preserve"> a total of $222 million in additional annual funding for higher education institutions specifically to allow for 15,000 new graduate level spaces  (Council of Ontario Universities, 2009; Ontario, 2005).</w:t>
      </w:r>
      <w:r w:rsidR="00652677">
        <w:rPr>
          <w:rFonts w:cs="Times New Roman"/>
          <w:szCs w:val="24"/>
        </w:rPr>
        <w:t xml:space="preserve"> In addition to funding increased enrolment through operating grants, the province also allocated funds to support capital expansion.</w:t>
      </w:r>
    </w:p>
    <w:p w14:paraId="2C1C9078" w14:textId="069860D8" w:rsidR="00B01EE6" w:rsidRPr="0055435B" w:rsidRDefault="00777516" w:rsidP="00083BAB">
      <w:pPr>
        <w:spacing w:after="0" w:line="480" w:lineRule="auto"/>
        <w:rPr>
          <w:rFonts w:cs="Times New Roman"/>
          <w:szCs w:val="24"/>
        </w:rPr>
      </w:pPr>
      <w:r>
        <w:rPr>
          <w:rFonts w:cs="Times New Roman"/>
          <w:szCs w:val="24"/>
        </w:rPr>
        <w:tab/>
        <w:t xml:space="preserve">In addition to funding policies designed to address aggregate participation, governments are also </w:t>
      </w:r>
      <w:r w:rsidR="00927B3E">
        <w:rPr>
          <w:rFonts w:cs="Times New Roman"/>
          <w:szCs w:val="24"/>
        </w:rPr>
        <w:t xml:space="preserve">increasingly aware that some populations are losing out and </w:t>
      </w:r>
      <w:r w:rsidR="00652677">
        <w:rPr>
          <w:rFonts w:cs="Times New Roman"/>
          <w:szCs w:val="24"/>
        </w:rPr>
        <w:t xml:space="preserve">they </w:t>
      </w:r>
      <w:r w:rsidR="00927B3E">
        <w:rPr>
          <w:rFonts w:cs="Times New Roman"/>
          <w:szCs w:val="24"/>
        </w:rPr>
        <w:t xml:space="preserve">have created targeted funding mechanisms designed to increase access for under-represented groups. </w:t>
      </w:r>
      <w:r w:rsidR="006C70CF" w:rsidRPr="0055435B">
        <w:rPr>
          <w:rFonts w:cs="Times New Roman"/>
          <w:szCs w:val="24"/>
        </w:rPr>
        <w:t xml:space="preserve"> </w:t>
      </w:r>
      <w:r w:rsidR="00B01EE6" w:rsidRPr="0055435B">
        <w:rPr>
          <w:rFonts w:cs="Times New Roman"/>
          <w:szCs w:val="24"/>
        </w:rPr>
        <w:t>In Canada, in particular, there is a notable underrepresentation of Aboriginal students in post-secondary institutions. There has b</w:t>
      </w:r>
      <w:r w:rsidR="00927B3E">
        <w:rPr>
          <w:rFonts w:cs="Times New Roman"/>
          <w:szCs w:val="24"/>
        </w:rPr>
        <w:t>een a persistent gap in</w:t>
      </w:r>
      <w:r w:rsidR="00B01EE6" w:rsidRPr="0055435B">
        <w:rPr>
          <w:rFonts w:cs="Times New Roman"/>
          <w:szCs w:val="24"/>
        </w:rPr>
        <w:t xml:space="preserve"> educ</w:t>
      </w:r>
      <w:r w:rsidR="007D46AE">
        <w:rPr>
          <w:rFonts w:cs="Times New Roman"/>
          <w:szCs w:val="24"/>
        </w:rPr>
        <w:t>ational achievement levels with</w:t>
      </w:r>
      <w:r w:rsidR="00B01EE6" w:rsidRPr="0055435B">
        <w:rPr>
          <w:rFonts w:cs="Times New Roman"/>
          <w:szCs w:val="24"/>
        </w:rPr>
        <w:t xml:space="preserve"> only 35 </w:t>
      </w:r>
      <w:r w:rsidR="00B01EE6" w:rsidRPr="0055435B">
        <w:rPr>
          <w:rFonts w:cs="Times New Roman"/>
          <w:szCs w:val="24"/>
        </w:rPr>
        <w:lastRenderedPageBreak/>
        <w:t xml:space="preserve">percent of Aboriginal peoples attaining a post-secondary credential compared to 51 percent of the non-Aboriginal population (Statistics Canada, 2008). </w:t>
      </w:r>
    </w:p>
    <w:p w14:paraId="30771DC1" w14:textId="444FB19A" w:rsidR="00D26331" w:rsidRDefault="00927B3E" w:rsidP="00083BAB">
      <w:pPr>
        <w:spacing w:after="0" w:line="480" w:lineRule="auto"/>
        <w:ind w:firstLine="720"/>
        <w:rPr>
          <w:rFonts w:cs="Times New Roman"/>
          <w:szCs w:val="24"/>
        </w:rPr>
      </w:pPr>
      <w:r>
        <w:rPr>
          <w:rFonts w:cs="Times New Roman"/>
          <w:szCs w:val="24"/>
        </w:rPr>
        <w:t xml:space="preserve">The Government of </w:t>
      </w:r>
      <w:r w:rsidR="00B01EE6" w:rsidRPr="0055435B">
        <w:rPr>
          <w:rFonts w:cs="Times New Roman"/>
          <w:szCs w:val="24"/>
        </w:rPr>
        <w:t>British Columbia has made strides in increasing the number of First Nations students who atten</w:t>
      </w:r>
      <w:r w:rsidR="003F0DDA">
        <w:rPr>
          <w:rFonts w:cs="Times New Roman"/>
          <w:szCs w:val="24"/>
        </w:rPr>
        <w:t>d post-secondary programs (</w:t>
      </w:r>
      <w:proofErr w:type="spellStart"/>
      <w:r w:rsidR="003F0DDA">
        <w:rPr>
          <w:rFonts w:cs="Times New Roman"/>
          <w:szCs w:val="24"/>
        </w:rPr>
        <w:t>Jotha</w:t>
      </w:r>
      <w:r w:rsidR="00B01EE6" w:rsidRPr="0055435B">
        <w:rPr>
          <w:rFonts w:cs="Times New Roman"/>
          <w:szCs w:val="24"/>
        </w:rPr>
        <w:t>n</w:t>
      </w:r>
      <w:proofErr w:type="spellEnd"/>
      <w:r w:rsidR="00B01EE6" w:rsidRPr="0055435B">
        <w:rPr>
          <w:rFonts w:cs="Times New Roman"/>
          <w:szCs w:val="24"/>
        </w:rPr>
        <w:t xml:space="preserve">, 2011).  </w:t>
      </w:r>
      <w:r w:rsidRPr="00927B3E">
        <w:rPr>
          <w:rFonts w:cs="Times New Roman"/>
          <w:szCs w:val="24"/>
        </w:rPr>
        <w:t>As of 2003, there were approximately 15,500 Aboriginal students attending higher education institutions in B.C. This represented roughly four percent of the overall student population (</w:t>
      </w:r>
      <w:proofErr w:type="spellStart"/>
      <w:r w:rsidRPr="00927B3E">
        <w:rPr>
          <w:rFonts w:cs="Times New Roman"/>
          <w:szCs w:val="24"/>
        </w:rPr>
        <w:t>Jothan</w:t>
      </w:r>
      <w:proofErr w:type="spellEnd"/>
      <w:r w:rsidRPr="00927B3E">
        <w:rPr>
          <w:rFonts w:cs="Times New Roman"/>
          <w:szCs w:val="24"/>
        </w:rPr>
        <w:t xml:space="preserve">, 2005). A 2002 survey by the Outcomes Working Group found that over half (52%) of </w:t>
      </w:r>
      <w:r w:rsidR="00652677">
        <w:rPr>
          <w:rFonts w:cs="Times New Roman"/>
          <w:szCs w:val="24"/>
        </w:rPr>
        <w:t xml:space="preserve">the </w:t>
      </w:r>
      <w:r w:rsidRPr="00927B3E">
        <w:rPr>
          <w:rFonts w:cs="Times New Roman"/>
          <w:szCs w:val="24"/>
        </w:rPr>
        <w:t>A</w:t>
      </w:r>
      <w:r w:rsidR="00652677">
        <w:rPr>
          <w:rFonts w:cs="Times New Roman"/>
          <w:szCs w:val="24"/>
        </w:rPr>
        <w:t xml:space="preserve">boriginal student respondents </w:t>
      </w:r>
      <w:r w:rsidRPr="00927B3E">
        <w:rPr>
          <w:rFonts w:cs="Times New Roman"/>
          <w:szCs w:val="24"/>
        </w:rPr>
        <w:t xml:space="preserve">attended colleges, while 35 percent attended university colleges and 13% attended other institutes. </w:t>
      </w:r>
      <w:r w:rsidR="00B01EE6" w:rsidRPr="0055435B">
        <w:rPr>
          <w:rFonts w:cs="Times New Roman"/>
          <w:szCs w:val="24"/>
        </w:rPr>
        <w:t xml:space="preserve">With the 2007 </w:t>
      </w:r>
      <w:r w:rsidR="00B01EE6" w:rsidRPr="0055435B">
        <w:rPr>
          <w:rFonts w:cs="Times New Roman"/>
          <w:i/>
          <w:szCs w:val="24"/>
        </w:rPr>
        <w:t>Aboriginal Post-Secondary Education and Training Strategy and Action Plan</w:t>
      </w:r>
      <w:r w:rsidR="00B01EE6" w:rsidRPr="0055435B">
        <w:rPr>
          <w:rFonts w:cs="Times New Roman"/>
          <w:szCs w:val="24"/>
        </w:rPr>
        <w:t xml:space="preserve">, the government aimed to engage First Nation peoples in higher education and enhance relationship-building between PSE institutions and First Nation communities. </w:t>
      </w:r>
      <w:r w:rsidR="006154E9" w:rsidRPr="0055435B">
        <w:rPr>
          <w:rFonts w:cs="Times New Roman"/>
          <w:szCs w:val="24"/>
        </w:rPr>
        <w:t xml:space="preserve">The Ministry established an Evaluation Steering Committee to provide guidance, advice and direction in the evaluation. </w:t>
      </w:r>
      <w:r w:rsidR="00B01EE6" w:rsidRPr="0055435B">
        <w:rPr>
          <w:rFonts w:cs="Times New Roman"/>
          <w:szCs w:val="24"/>
        </w:rPr>
        <w:t xml:space="preserve">This Strategy is part of the </w:t>
      </w:r>
      <w:r w:rsidR="00B01EE6" w:rsidRPr="0055435B">
        <w:rPr>
          <w:rFonts w:cs="Times New Roman"/>
          <w:i/>
          <w:szCs w:val="24"/>
        </w:rPr>
        <w:t>Transformative Change Accord</w:t>
      </w:r>
      <w:r w:rsidR="00B01EE6" w:rsidRPr="0055435B">
        <w:rPr>
          <w:rFonts w:cs="Times New Roman"/>
          <w:szCs w:val="24"/>
        </w:rPr>
        <w:t xml:space="preserve"> </w:t>
      </w:r>
      <w:r w:rsidR="003553AB">
        <w:rPr>
          <w:rFonts w:cs="Times New Roman"/>
          <w:szCs w:val="24"/>
        </w:rPr>
        <w:t xml:space="preserve"> (TCA)</w:t>
      </w:r>
      <w:r w:rsidR="00083BAB">
        <w:rPr>
          <w:rFonts w:cs="Times New Roman"/>
          <w:szCs w:val="24"/>
        </w:rPr>
        <w:t xml:space="preserve"> </w:t>
      </w:r>
      <w:r w:rsidR="000C530B" w:rsidRPr="0055435B">
        <w:rPr>
          <w:rFonts w:cs="Times New Roman"/>
          <w:szCs w:val="24"/>
        </w:rPr>
        <w:t xml:space="preserve">(2005) </w:t>
      </w:r>
      <w:r w:rsidR="00B01EE6" w:rsidRPr="0055435B">
        <w:rPr>
          <w:rFonts w:cs="Times New Roman"/>
          <w:szCs w:val="24"/>
        </w:rPr>
        <w:t xml:space="preserve">and the </w:t>
      </w:r>
      <w:r w:rsidR="00B01EE6" w:rsidRPr="0055435B">
        <w:rPr>
          <w:rFonts w:cs="Times New Roman"/>
          <w:i/>
          <w:szCs w:val="24"/>
        </w:rPr>
        <w:t>New Relationship Vision</w:t>
      </w:r>
      <w:r w:rsidR="00B01EE6" w:rsidRPr="0055435B">
        <w:rPr>
          <w:rFonts w:cs="Times New Roman"/>
          <w:szCs w:val="24"/>
        </w:rPr>
        <w:t xml:space="preserve"> as developed to make British </w:t>
      </w:r>
      <w:r w:rsidR="000C530B" w:rsidRPr="0055435B">
        <w:rPr>
          <w:rFonts w:cs="Times New Roman"/>
          <w:szCs w:val="24"/>
        </w:rPr>
        <w:t>Columbia</w:t>
      </w:r>
      <w:r w:rsidR="00B01EE6" w:rsidRPr="0055435B">
        <w:rPr>
          <w:rFonts w:cs="Times New Roman"/>
          <w:szCs w:val="24"/>
        </w:rPr>
        <w:t xml:space="preserve"> “the best educated, most literate jurisdiction on the continent</w:t>
      </w:r>
      <w:r w:rsidR="00D26331">
        <w:rPr>
          <w:rFonts w:cs="Times New Roman"/>
          <w:szCs w:val="24"/>
        </w:rPr>
        <w:t>.</w:t>
      </w:r>
      <w:r w:rsidR="00B01EE6" w:rsidRPr="0055435B">
        <w:rPr>
          <w:rFonts w:cs="Times New Roman"/>
          <w:szCs w:val="24"/>
        </w:rPr>
        <w:t xml:space="preserve">” </w:t>
      </w:r>
      <w:r w:rsidR="00D26331">
        <w:rPr>
          <w:rFonts w:cs="Times New Roman"/>
          <w:szCs w:val="24"/>
        </w:rPr>
        <w:t xml:space="preserve">This plan involved a multi-year $65 million dollar initiative designed to increase Aboriginal participation in higher education. </w:t>
      </w:r>
      <w:r w:rsidR="003553AB">
        <w:rPr>
          <w:rFonts w:cs="Times New Roman"/>
          <w:szCs w:val="24"/>
        </w:rPr>
        <w:t xml:space="preserve">In </w:t>
      </w:r>
      <w:r w:rsidR="00C55E2B">
        <w:rPr>
          <w:rFonts w:cs="Times New Roman"/>
          <w:szCs w:val="24"/>
        </w:rPr>
        <w:t xml:space="preserve">2006 British Columbia Premier </w:t>
      </w:r>
      <w:r w:rsidR="003553AB">
        <w:rPr>
          <w:rFonts w:cs="Times New Roman"/>
          <w:szCs w:val="24"/>
        </w:rPr>
        <w:t>Gordon Campbell described the new relationship:</w:t>
      </w:r>
    </w:p>
    <w:p w14:paraId="3794FDEF" w14:textId="43CADE19" w:rsidR="002D6601" w:rsidRPr="003553AB" w:rsidRDefault="002D6601" w:rsidP="00083BAB">
      <w:pPr>
        <w:spacing w:after="0" w:line="480" w:lineRule="auto"/>
        <w:ind w:left="851" w:right="855"/>
        <w:rPr>
          <w:rFonts w:cs="Times New Roman"/>
          <w:szCs w:val="24"/>
        </w:rPr>
      </w:pPr>
      <w:r w:rsidRPr="003553AB">
        <w:rPr>
          <w:rFonts w:cs="Times New Roman"/>
          <w:szCs w:val="24"/>
        </w:rPr>
        <w:t xml:space="preserve">This tri-partite agreement stands as a binding declaration of our mutual resolve to act upon the vision and commitment of all first ministers and national Aboriginal leaders, as set out in the Kelowna agreement. That TCA was the product of an unprecedented government-to-government collaboration. More importantly, it is 'a shared commitment to action by all parties'—including the Government of Canada—that speaks to 'a 10-year dedicated effort to improve </w:t>
      </w:r>
      <w:r w:rsidRPr="003553AB">
        <w:rPr>
          <w:rFonts w:cs="Times New Roman"/>
          <w:szCs w:val="24"/>
        </w:rPr>
        <w:lastRenderedPageBreak/>
        <w:t>the quality of life of the A</w:t>
      </w:r>
      <w:r w:rsidR="00083BAB">
        <w:rPr>
          <w:rFonts w:cs="Times New Roman"/>
          <w:szCs w:val="24"/>
        </w:rPr>
        <w:t>boriginal peoples of Canada</w:t>
      </w:r>
      <w:r w:rsidR="003553AB">
        <w:rPr>
          <w:rFonts w:cs="Times New Roman"/>
          <w:szCs w:val="24"/>
        </w:rPr>
        <w:t xml:space="preserve"> </w:t>
      </w:r>
      <w:r w:rsidRPr="003553AB">
        <w:rPr>
          <w:rFonts w:cs="Times New Roman"/>
          <w:szCs w:val="24"/>
        </w:rPr>
        <w:t xml:space="preserve">(Government of British Columbia, 2008). </w:t>
      </w:r>
    </w:p>
    <w:p w14:paraId="1ED9AF5D" w14:textId="5DEBE289" w:rsidR="00D26331" w:rsidRPr="0055435B" w:rsidRDefault="001F4D1E" w:rsidP="00083BAB">
      <w:pPr>
        <w:spacing w:after="0" w:line="480" w:lineRule="auto"/>
        <w:ind w:firstLine="720"/>
        <w:rPr>
          <w:rFonts w:cs="Times New Roman"/>
          <w:szCs w:val="24"/>
        </w:rPr>
      </w:pPr>
      <w:r>
        <w:rPr>
          <w:rFonts w:cs="Times New Roman"/>
          <w:szCs w:val="24"/>
        </w:rPr>
        <w:t xml:space="preserve">An </w:t>
      </w:r>
      <w:r w:rsidR="00D26331" w:rsidRPr="0055435B">
        <w:rPr>
          <w:rFonts w:cs="Times New Roman"/>
          <w:szCs w:val="24"/>
        </w:rPr>
        <w:t xml:space="preserve">evaluation </w:t>
      </w:r>
      <w:r>
        <w:rPr>
          <w:rFonts w:cs="Times New Roman"/>
          <w:szCs w:val="24"/>
        </w:rPr>
        <w:t xml:space="preserve">conducted in 2011 </w:t>
      </w:r>
      <w:r w:rsidR="00D26331" w:rsidRPr="0055435B">
        <w:rPr>
          <w:rFonts w:cs="Times New Roman"/>
          <w:szCs w:val="24"/>
        </w:rPr>
        <w:t>assessed the degree to whic</w:t>
      </w:r>
      <w:r>
        <w:rPr>
          <w:rFonts w:cs="Times New Roman"/>
          <w:szCs w:val="24"/>
        </w:rPr>
        <w:t>h the 2007 Strategy has been successful in increasing access and provided</w:t>
      </w:r>
      <w:r w:rsidR="00D26331" w:rsidRPr="0055435B">
        <w:rPr>
          <w:rFonts w:cs="Times New Roman"/>
          <w:szCs w:val="24"/>
        </w:rPr>
        <w:t xml:space="preserve"> recommendations to improve the depth and breadth of the impact of this strategy. </w:t>
      </w:r>
      <w:r w:rsidR="00D26331">
        <w:rPr>
          <w:rFonts w:cs="Times New Roman"/>
          <w:szCs w:val="24"/>
        </w:rPr>
        <w:t>The report indicates that while this initiative appears to have increased access opportunities, there is much more to be done to support increasing the representation of Aboriginal students in higher education</w:t>
      </w:r>
      <w:r w:rsidR="003F0DDA">
        <w:rPr>
          <w:rFonts w:cs="Times New Roman"/>
          <w:szCs w:val="24"/>
        </w:rPr>
        <w:t xml:space="preserve"> (</w:t>
      </w:r>
      <w:proofErr w:type="spellStart"/>
      <w:r w:rsidR="003F0DDA">
        <w:rPr>
          <w:rFonts w:cs="Times New Roman"/>
          <w:szCs w:val="24"/>
        </w:rPr>
        <w:t>Jothan</w:t>
      </w:r>
      <w:proofErr w:type="spellEnd"/>
      <w:r w:rsidR="003F0DDA">
        <w:rPr>
          <w:rFonts w:cs="Times New Roman"/>
          <w:szCs w:val="24"/>
        </w:rPr>
        <w:t>, 2011)</w:t>
      </w:r>
      <w:r w:rsidR="00D26331">
        <w:rPr>
          <w:rFonts w:cs="Times New Roman"/>
          <w:szCs w:val="24"/>
        </w:rPr>
        <w:t xml:space="preserve">. </w:t>
      </w:r>
    </w:p>
    <w:p w14:paraId="1AC94F17" w14:textId="1ACDD11F" w:rsidR="000C530B" w:rsidRDefault="00E32237" w:rsidP="00AA1A92">
      <w:pPr>
        <w:spacing w:after="0" w:line="480" w:lineRule="auto"/>
        <w:ind w:firstLine="720"/>
        <w:rPr>
          <w:rFonts w:cs="Times New Roman"/>
          <w:szCs w:val="24"/>
        </w:rPr>
      </w:pPr>
      <w:r>
        <w:rPr>
          <w:rFonts w:cs="Times New Roman"/>
          <w:szCs w:val="24"/>
        </w:rPr>
        <w:t>In addition to these British Columbian initiatives, the gover</w:t>
      </w:r>
      <w:r w:rsidR="00D26331">
        <w:rPr>
          <w:rFonts w:cs="Times New Roman"/>
          <w:szCs w:val="24"/>
        </w:rPr>
        <w:t>nment of Ontario provided over $</w:t>
      </w:r>
      <w:r>
        <w:rPr>
          <w:rFonts w:cs="Times New Roman"/>
          <w:szCs w:val="24"/>
        </w:rPr>
        <w:t>55 million as part of the “Access to Opportunities Strategy” twice in the past de</w:t>
      </w:r>
      <w:r w:rsidR="00D26331">
        <w:rPr>
          <w:rFonts w:cs="Times New Roman"/>
          <w:szCs w:val="24"/>
        </w:rPr>
        <w:t>cade (2005</w:t>
      </w:r>
      <w:r w:rsidR="003553AB">
        <w:rPr>
          <w:rFonts w:cs="Times New Roman"/>
          <w:szCs w:val="24"/>
        </w:rPr>
        <w:t>/06 and 2009/10). This program provided targeted</w:t>
      </w:r>
      <w:r w:rsidR="00D26331">
        <w:rPr>
          <w:rFonts w:cs="Times New Roman"/>
          <w:szCs w:val="24"/>
        </w:rPr>
        <w:t xml:space="preserve"> </w:t>
      </w:r>
      <w:r w:rsidR="002E7099">
        <w:rPr>
          <w:rFonts w:cs="Times New Roman"/>
          <w:szCs w:val="24"/>
        </w:rPr>
        <w:t xml:space="preserve">funding </w:t>
      </w:r>
      <w:r w:rsidR="003553AB">
        <w:rPr>
          <w:rFonts w:cs="Times New Roman"/>
          <w:szCs w:val="24"/>
        </w:rPr>
        <w:t xml:space="preserve">to postsecondary institutions to provide additional </w:t>
      </w:r>
      <w:r w:rsidR="00D26331">
        <w:rPr>
          <w:rFonts w:cs="Times New Roman"/>
          <w:szCs w:val="24"/>
        </w:rPr>
        <w:t xml:space="preserve">support services, outreach and recruitment </w:t>
      </w:r>
      <w:r w:rsidR="003553AB">
        <w:rPr>
          <w:rFonts w:cs="Times New Roman"/>
          <w:szCs w:val="24"/>
        </w:rPr>
        <w:t xml:space="preserve">activities </w:t>
      </w:r>
      <w:r w:rsidR="00D26331">
        <w:rPr>
          <w:rFonts w:cs="Times New Roman"/>
          <w:szCs w:val="24"/>
        </w:rPr>
        <w:t>for stude</w:t>
      </w:r>
      <w:r w:rsidR="008974BC">
        <w:rPr>
          <w:rFonts w:cs="Times New Roman"/>
          <w:szCs w:val="24"/>
        </w:rPr>
        <w:t>nt</w:t>
      </w:r>
      <w:r w:rsidR="00D26331">
        <w:rPr>
          <w:rFonts w:cs="Times New Roman"/>
          <w:szCs w:val="24"/>
        </w:rPr>
        <w:t>s from disadvantaged an</w:t>
      </w:r>
      <w:r w:rsidR="00997640">
        <w:rPr>
          <w:rFonts w:cs="Times New Roman"/>
          <w:szCs w:val="24"/>
        </w:rPr>
        <w:t xml:space="preserve">d underrepresented populations </w:t>
      </w:r>
      <w:r w:rsidR="00D26331">
        <w:rPr>
          <w:rFonts w:cs="Times New Roman"/>
          <w:szCs w:val="24"/>
        </w:rPr>
        <w:t xml:space="preserve">(Kirby, 2010). </w:t>
      </w:r>
    </w:p>
    <w:p w14:paraId="639D190E" w14:textId="77777777" w:rsidR="00997640" w:rsidRDefault="00997640" w:rsidP="00AA1A92">
      <w:pPr>
        <w:spacing w:after="0" w:line="480" w:lineRule="auto"/>
        <w:ind w:firstLine="349"/>
        <w:rPr>
          <w:rFonts w:cs="Times New Roman"/>
          <w:szCs w:val="24"/>
        </w:rPr>
      </w:pPr>
      <w:r>
        <w:rPr>
          <w:rFonts w:cs="Times New Roman"/>
          <w:szCs w:val="24"/>
        </w:rPr>
        <w:t>In addition to direct and targeted funding mechanisms, Canada’s provincial governments have been combining funding policies with structural reforms such as:</w:t>
      </w:r>
    </w:p>
    <w:p w14:paraId="5FC34EBF" w14:textId="2B54328E" w:rsidR="006172D8" w:rsidRDefault="00997640" w:rsidP="00AA1A92">
      <w:pPr>
        <w:pStyle w:val="ListParagraph"/>
        <w:numPr>
          <w:ilvl w:val="0"/>
          <w:numId w:val="3"/>
        </w:numPr>
        <w:spacing w:after="0" w:line="480" w:lineRule="auto"/>
        <w:rPr>
          <w:rFonts w:cs="Times New Roman"/>
          <w:szCs w:val="24"/>
        </w:rPr>
      </w:pPr>
      <w:r w:rsidRPr="004C2016">
        <w:rPr>
          <w:rFonts w:cs="Times New Roman"/>
          <w:szCs w:val="24"/>
        </w:rPr>
        <w:t>Modifying institutional roles and missions in order</w:t>
      </w:r>
      <w:r w:rsidR="00BA6CBC" w:rsidRPr="004C2016">
        <w:rPr>
          <w:rFonts w:cs="Times New Roman"/>
          <w:szCs w:val="24"/>
        </w:rPr>
        <w:t xml:space="preserve"> to increas</w:t>
      </w:r>
      <w:r w:rsidRPr="004C2016">
        <w:rPr>
          <w:rFonts w:cs="Times New Roman"/>
          <w:szCs w:val="24"/>
        </w:rPr>
        <w:t>e access to university degrees (</w:t>
      </w:r>
      <w:r w:rsidR="00BA6CBC" w:rsidRPr="004C2016">
        <w:rPr>
          <w:rFonts w:cs="Times New Roman"/>
          <w:szCs w:val="24"/>
        </w:rPr>
        <w:t>transforming colleges/polytechnics into regional or teaching-intensive universities</w:t>
      </w:r>
      <w:r w:rsidRPr="004C2016">
        <w:rPr>
          <w:rFonts w:cs="Times New Roman"/>
          <w:szCs w:val="24"/>
        </w:rPr>
        <w:t xml:space="preserve"> in </w:t>
      </w:r>
      <w:r w:rsidR="00BA6CBC" w:rsidRPr="004C2016">
        <w:rPr>
          <w:rFonts w:cs="Times New Roman"/>
          <w:szCs w:val="24"/>
        </w:rPr>
        <w:t>Alberta and British Columbia</w:t>
      </w:r>
      <w:r w:rsidRPr="004C2016">
        <w:rPr>
          <w:rFonts w:cs="Times New Roman"/>
          <w:szCs w:val="24"/>
        </w:rPr>
        <w:t xml:space="preserve">; </w:t>
      </w:r>
    </w:p>
    <w:p w14:paraId="6A4E4CFA" w14:textId="0D69B512" w:rsidR="00BA6CBC" w:rsidRPr="004C2016" w:rsidRDefault="006172D8" w:rsidP="00AA1A92">
      <w:pPr>
        <w:pStyle w:val="ListParagraph"/>
        <w:numPr>
          <w:ilvl w:val="0"/>
          <w:numId w:val="3"/>
        </w:numPr>
        <w:spacing w:after="0" w:line="480" w:lineRule="auto"/>
        <w:rPr>
          <w:rFonts w:cs="Times New Roman"/>
          <w:szCs w:val="24"/>
        </w:rPr>
      </w:pPr>
      <w:r>
        <w:rPr>
          <w:rFonts w:cs="Times New Roman"/>
          <w:szCs w:val="24"/>
        </w:rPr>
        <w:t>Pr</w:t>
      </w:r>
      <w:r w:rsidR="00997640" w:rsidRPr="004C2016">
        <w:rPr>
          <w:rFonts w:cs="Times New Roman"/>
          <w:szCs w:val="24"/>
        </w:rPr>
        <w:t>oviding community colleges with some restricted ability to offer full degree programs in British Columbia, Alberta, Manitoba, Ontario, Prince Edward Island and the Yukon Territory</w:t>
      </w:r>
      <w:r w:rsidR="00BA6CBC" w:rsidRPr="004C2016">
        <w:rPr>
          <w:rFonts w:cs="Times New Roman"/>
          <w:szCs w:val="24"/>
        </w:rPr>
        <w:t>);</w:t>
      </w:r>
    </w:p>
    <w:p w14:paraId="58EBEFCE" w14:textId="5D275A4D" w:rsidR="00BA6CBC" w:rsidRPr="0055435B" w:rsidRDefault="004C2016" w:rsidP="00AA1A92">
      <w:pPr>
        <w:pStyle w:val="ListParagraph"/>
        <w:numPr>
          <w:ilvl w:val="0"/>
          <w:numId w:val="3"/>
        </w:numPr>
        <w:spacing w:after="0" w:line="480" w:lineRule="auto"/>
        <w:rPr>
          <w:rFonts w:cs="Times New Roman"/>
          <w:szCs w:val="24"/>
        </w:rPr>
      </w:pPr>
      <w:r>
        <w:rPr>
          <w:rFonts w:cs="Times New Roman"/>
          <w:szCs w:val="24"/>
        </w:rPr>
        <w:t>D</w:t>
      </w:r>
      <w:r w:rsidR="00BA6CBC" w:rsidRPr="0055435B">
        <w:rPr>
          <w:rFonts w:cs="Times New Roman"/>
          <w:szCs w:val="24"/>
        </w:rPr>
        <w:t>ifferentiating the college sector in binary systems to improve regional access to de</w:t>
      </w:r>
      <w:r w:rsidR="00997640">
        <w:rPr>
          <w:rFonts w:cs="Times New Roman"/>
          <w:szCs w:val="24"/>
        </w:rPr>
        <w:t>gree programs (</w:t>
      </w:r>
      <w:r w:rsidR="00BA6CBC" w:rsidRPr="0055435B">
        <w:rPr>
          <w:rFonts w:cs="Times New Roman"/>
          <w:szCs w:val="24"/>
        </w:rPr>
        <w:t xml:space="preserve">university colleges in British Columbia in </w:t>
      </w:r>
      <w:r w:rsidR="00997640">
        <w:rPr>
          <w:rFonts w:cs="Times New Roman"/>
          <w:szCs w:val="24"/>
        </w:rPr>
        <w:t xml:space="preserve">the </w:t>
      </w:r>
      <w:r w:rsidR="00BA6CBC" w:rsidRPr="0055435B">
        <w:rPr>
          <w:rFonts w:cs="Times New Roman"/>
          <w:szCs w:val="24"/>
        </w:rPr>
        <w:t>early 1990s; and Institutes of Technology and Advanced Learning in Ontario in 2000)</w:t>
      </w:r>
      <w:r w:rsidR="006172D8">
        <w:rPr>
          <w:rFonts w:cs="Times New Roman"/>
          <w:szCs w:val="24"/>
        </w:rPr>
        <w:t>;</w:t>
      </w:r>
    </w:p>
    <w:p w14:paraId="6E5B9BA2" w14:textId="3A0E23B1" w:rsidR="00BA6CBC" w:rsidRPr="0055435B" w:rsidRDefault="004C2016" w:rsidP="00AA1A92">
      <w:pPr>
        <w:pStyle w:val="ListParagraph"/>
        <w:numPr>
          <w:ilvl w:val="0"/>
          <w:numId w:val="3"/>
        </w:numPr>
        <w:spacing w:after="0" w:line="480" w:lineRule="auto"/>
        <w:rPr>
          <w:rFonts w:cs="Times New Roman"/>
          <w:szCs w:val="24"/>
        </w:rPr>
      </w:pPr>
      <w:r>
        <w:rPr>
          <w:rFonts w:cs="Times New Roman"/>
          <w:szCs w:val="24"/>
        </w:rPr>
        <w:lastRenderedPageBreak/>
        <w:t>I</w:t>
      </w:r>
      <w:r w:rsidR="00BA6CBC" w:rsidRPr="0055435B">
        <w:rPr>
          <w:rFonts w:cs="Times New Roman"/>
          <w:szCs w:val="24"/>
        </w:rPr>
        <w:t>mproving the ability of students to transfer between institutions in the post-secondary system and increase ac</w:t>
      </w:r>
      <w:r>
        <w:rPr>
          <w:rFonts w:cs="Times New Roman"/>
          <w:szCs w:val="24"/>
        </w:rPr>
        <w:t>cess and mobility (Councils focusing on transfer issues in Alberta, British Columbia, and, most recently, Ontario</w:t>
      </w:r>
      <w:r w:rsidR="00BA6CBC" w:rsidRPr="0055435B">
        <w:rPr>
          <w:rFonts w:cs="Times New Roman"/>
          <w:szCs w:val="24"/>
        </w:rPr>
        <w:t>)</w:t>
      </w:r>
      <w:r w:rsidR="00BA6CBC">
        <w:rPr>
          <w:rFonts w:cs="Times New Roman"/>
          <w:szCs w:val="24"/>
        </w:rPr>
        <w:t>;</w:t>
      </w:r>
      <w:r>
        <w:rPr>
          <w:rFonts w:cs="Times New Roman"/>
          <w:szCs w:val="24"/>
        </w:rPr>
        <w:t xml:space="preserve"> and</w:t>
      </w:r>
    </w:p>
    <w:p w14:paraId="67E3A046" w14:textId="086B2384" w:rsidR="00BA6CBC" w:rsidRPr="005F5317" w:rsidRDefault="00BA6CBC" w:rsidP="00AA1A92">
      <w:pPr>
        <w:pStyle w:val="ListParagraph"/>
        <w:numPr>
          <w:ilvl w:val="0"/>
          <w:numId w:val="3"/>
        </w:numPr>
        <w:spacing w:after="0" w:line="480" w:lineRule="auto"/>
        <w:rPr>
          <w:rFonts w:cs="Times New Roman"/>
          <w:szCs w:val="24"/>
        </w:rPr>
      </w:pPr>
      <w:r w:rsidRPr="0055435B">
        <w:rPr>
          <w:rFonts w:cs="Times New Roman"/>
          <w:szCs w:val="24"/>
        </w:rPr>
        <w:t>expa</w:t>
      </w:r>
      <w:r w:rsidR="004C2016">
        <w:rPr>
          <w:rFonts w:cs="Times New Roman"/>
          <w:szCs w:val="24"/>
        </w:rPr>
        <w:t>nding distance learning (</w:t>
      </w:r>
      <w:r w:rsidRPr="0055435B">
        <w:rPr>
          <w:rFonts w:cs="Times New Roman"/>
          <w:szCs w:val="24"/>
        </w:rPr>
        <w:t xml:space="preserve">Thompson River University in British Columbia, Athabasca University in Alberta, </w:t>
      </w:r>
      <w:proofErr w:type="spellStart"/>
      <w:r w:rsidRPr="0055435B">
        <w:rPr>
          <w:rFonts w:cs="Times New Roman"/>
          <w:szCs w:val="24"/>
        </w:rPr>
        <w:t>Télé</w:t>
      </w:r>
      <w:proofErr w:type="spellEnd"/>
      <w:r w:rsidRPr="0055435B">
        <w:rPr>
          <w:rFonts w:cs="Times New Roman"/>
          <w:szCs w:val="24"/>
        </w:rPr>
        <w:t xml:space="preserve"> Université in Québec</w:t>
      </w:r>
      <w:r w:rsidR="004C2016">
        <w:rPr>
          <w:rFonts w:cs="Times New Roman"/>
          <w:szCs w:val="24"/>
        </w:rPr>
        <w:t>, as well as supporting collaborative efforts and consortia within provincial systems</w:t>
      </w:r>
      <w:r w:rsidRPr="0055435B">
        <w:rPr>
          <w:rFonts w:cs="Times New Roman"/>
          <w:szCs w:val="24"/>
        </w:rPr>
        <w:t>)</w:t>
      </w:r>
      <w:r w:rsidR="008F2283">
        <w:rPr>
          <w:rFonts w:cs="Times New Roman"/>
          <w:szCs w:val="24"/>
        </w:rPr>
        <w:t xml:space="preserve"> (Jones</w:t>
      </w:r>
      <w:r w:rsidR="006172D8">
        <w:rPr>
          <w:rFonts w:cs="Times New Roman"/>
          <w:szCs w:val="24"/>
        </w:rPr>
        <w:t xml:space="preserve"> et al</w:t>
      </w:r>
      <w:r w:rsidR="008F2283">
        <w:rPr>
          <w:rFonts w:cs="Times New Roman"/>
          <w:szCs w:val="24"/>
        </w:rPr>
        <w:t>.,</w:t>
      </w:r>
      <w:r w:rsidR="006172D8">
        <w:rPr>
          <w:rFonts w:cs="Times New Roman"/>
          <w:szCs w:val="24"/>
        </w:rPr>
        <w:t xml:space="preserve"> 2008)</w:t>
      </w:r>
      <w:r w:rsidR="008F2283">
        <w:rPr>
          <w:rFonts w:cs="Times New Roman"/>
          <w:szCs w:val="24"/>
        </w:rPr>
        <w:t>.</w:t>
      </w:r>
    </w:p>
    <w:p w14:paraId="403499C8" w14:textId="77777777" w:rsidR="00E37D1D" w:rsidRPr="0055435B" w:rsidRDefault="00E37D1D" w:rsidP="00AA1A92">
      <w:pPr>
        <w:spacing w:after="0" w:line="480" w:lineRule="auto"/>
        <w:ind w:left="851" w:right="855"/>
        <w:rPr>
          <w:rFonts w:cs="Times New Roman"/>
          <w:i/>
          <w:szCs w:val="24"/>
        </w:rPr>
      </w:pPr>
    </w:p>
    <w:p w14:paraId="7059F8FC" w14:textId="77777777" w:rsidR="00B01EE6" w:rsidRPr="005F5317" w:rsidRDefault="00B01EE6" w:rsidP="00AA1A92">
      <w:pPr>
        <w:spacing w:after="0" w:line="480" w:lineRule="auto"/>
        <w:rPr>
          <w:rFonts w:cs="Times New Roman"/>
          <w:i/>
          <w:szCs w:val="24"/>
        </w:rPr>
      </w:pPr>
      <w:r w:rsidRPr="005F5317">
        <w:rPr>
          <w:rFonts w:cs="Times New Roman"/>
          <w:i/>
          <w:szCs w:val="24"/>
        </w:rPr>
        <w:t>1.2 Student financial assistance mechanisms to support participation</w:t>
      </w:r>
    </w:p>
    <w:p w14:paraId="4A528FD2" w14:textId="6F068B6C" w:rsidR="002F70DC" w:rsidRDefault="002E7099" w:rsidP="00AA1A92">
      <w:pPr>
        <w:spacing w:after="0" w:line="480" w:lineRule="auto"/>
        <w:ind w:firstLine="720"/>
        <w:rPr>
          <w:rFonts w:cs="Times New Roman"/>
          <w:szCs w:val="24"/>
        </w:rPr>
      </w:pPr>
      <w:r>
        <w:rPr>
          <w:rFonts w:cs="Times New Roman"/>
          <w:szCs w:val="24"/>
        </w:rPr>
        <w:t xml:space="preserve">The costs associated with attending postsecondary education (including tuition, books, supplies and maintenance costs such as food, transportation and accommodation) have long been acknowledged a barrier to access, especially for students from poor families. </w:t>
      </w:r>
      <w:r w:rsidR="002F70DC">
        <w:rPr>
          <w:rFonts w:cs="Times New Roman"/>
          <w:szCs w:val="24"/>
        </w:rPr>
        <w:t xml:space="preserve">Canadian higher education institutions have, on average, experienced </w:t>
      </w:r>
      <w:r w:rsidR="002F70DC" w:rsidRPr="002F70DC">
        <w:rPr>
          <w:rFonts w:cs="Times New Roman"/>
          <w:szCs w:val="24"/>
        </w:rPr>
        <w:t>substantial shift</w:t>
      </w:r>
      <w:r w:rsidR="002F70DC">
        <w:rPr>
          <w:rFonts w:cs="Times New Roman"/>
          <w:szCs w:val="24"/>
        </w:rPr>
        <w:t>s</w:t>
      </w:r>
      <w:r w:rsidR="00986281">
        <w:rPr>
          <w:rFonts w:cs="Times New Roman"/>
          <w:szCs w:val="24"/>
        </w:rPr>
        <w:t xml:space="preserve"> in the source of revenues</w:t>
      </w:r>
      <w:r w:rsidR="002F70DC">
        <w:rPr>
          <w:rFonts w:cs="Times New Roman"/>
          <w:szCs w:val="24"/>
        </w:rPr>
        <w:t xml:space="preserve">; this </w:t>
      </w:r>
      <w:r w:rsidR="002F70DC" w:rsidRPr="002F70DC">
        <w:rPr>
          <w:rFonts w:cs="Times New Roman"/>
          <w:szCs w:val="24"/>
        </w:rPr>
        <w:t xml:space="preserve">change </w:t>
      </w:r>
      <w:r w:rsidR="002F70DC">
        <w:rPr>
          <w:rFonts w:cs="Times New Roman"/>
          <w:szCs w:val="24"/>
        </w:rPr>
        <w:t xml:space="preserve">is reflected in increasing tuition fees </w:t>
      </w:r>
      <w:r w:rsidR="002F70DC" w:rsidRPr="002F70DC">
        <w:rPr>
          <w:rFonts w:cs="Times New Roman"/>
          <w:szCs w:val="24"/>
        </w:rPr>
        <w:t>while governments pay p</w:t>
      </w:r>
      <w:r w:rsidR="002F70DC">
        <w:rPr>
          <w:rFonts w:cs="Times New Roman"/>
          <w:szCs w:val="24"/>
        </w:rPr>
        <w:t>roportionally less</w:t>
      </w:r>
      <w:r w:rsidR="00934595">
        <w:rPr>
          <w:rFonts w:cs="Times New Roman"/>
          <w:szCs w:val="24"/>
        </w:rPr>
        <w:t>.</w:t>
      </w:r>
      <w:r w:rsidR="002F70DC">
        <w:rPr>
          <w:rFonts w:cs="Times New Roman"/>
          <w:szCs w:val="24"/>
        </w:rPr>
        <w:t xml:space="preserve"> From</w:t>
      </w:r>
      <w:r w:rsidR="00BF6BBF">
        <w:rPr>
          <w:rFonts w:cs="Times New Roman"/>
          <w:szCs w:val="24"/>
        </w:rPr>
        <w:t xml:space="preserve"> 1989 to</w:t>
      </w:r>
      <w:r w:rsidR="002F70DC" w:rsidRPr="002F70DC">
        <w:rPr>
          <w:rFonts w:cs="Times New Roman"/>
          <w:szCs w:val="24"/>
        </w:rPr>
        <w:t xml:space="preserve"> 2009, average tuition fees </w:t>
      </w:r>
      <w:r w:rsidR="002F70DC">
        <w:rPr>
          <w:rFonts w:cs="Times New Roman"/>
          <w:szCs w:val="24"/>
        </w:rPr>
        <w:t xml:space="preserve">rose </w:t>
      </w:r>
      <w:r w:rsidR="002F70DC" w:rsidRPr="002F70DC">
        <w:rPr>
          <w:rFonts w:cs="Times New Roman"/>
          <w:szCs w:val="24"/>
        </w:rPr>
        <w:t>f</w:t>
      </w:r>
      <w:r w:rsidR="002F70DC">
        <w:rPr>
          <w:rFonts w:cs="Times New Roman"/>
          <w:szCs w:val="24"/>
        </w:rPr>
        <w:t>rom ten percent to 21 percent</w:t>
      </w:r>
      <w:r w:rsidR="002F70DC" w:rsidRPr="002F70DC">
        <w:rPr>
          <w:rFonts w:cs="Times New Roman"/>
          <w:szCs w:val="24"/>
        </w:rPr>
        <w:t xml:space="preserve"> while fundi</w:t>
      </w:r>
      <w:r w:rsidR="002F70DC">
        <w:rPr>
          <w:rFonts w:cs="Times New Roman"/>
          <w:szCs w:val="24"/>
        </w:rPr>
        <w:t>ng from government fell from 72 percent</w:t>
      </w:r>
      <w:r w:rsidR="002F70DC" w:rsidRPr="002F70DC">
        <w:rPr>
          <w:rFonts w:cs="Times New Roman"/>
          <w:szCs w:val="24"/>
        </w:rPr>
        <w:t xml:space="preserve"> to 55</w:t>
      </w:r>
      <w:r w:rsidR="002F70DC">
        <w:rPr>
          <w:rFonts w:cs="Times New Roman"/>
          <w:szCs w:val="24"/>
        </w:rPr>
        <w:t xml:space="preserve"> percent. These numbers indicate that tuition has more than </w:t>
      </w:r>
      <w:r w:rsidR="002F70DC" w:rsidRPr="002F70DC">
        <w:rPr>
          <w:rFonts w:cs="Times New Roman"/>
          <w:szCs w:val="24"/>
        </w:rPr>
        <w:t>doubled as a percentage of total revenues for universities and colleges</w:t>
      </w:r>
      <w:r w:rsidR="002F70DC">
        <w:rPr>
          <w:rFonts w:cs="Times New Roman"/>
          <w:szCs w:val="24"/>
        </w:rPr>
        <w:t>, and there are concerns that this trend will continue</w:t>
      </w:r>
      <w:r w:rsidR="00934595">
        <w:rPr>
          <w:rFonts w:cs="Times New Roman"/>
          <w:szCs w:val="24"/>
        </w:rPr>
        <w:t xml:space="preserve"> (Schwartz &amp;</w:t>
      </w:r>
      <w:r w:rsidR="00934595" w:rsidRPr="002F70DC">
        <w:rPr>
          <w:rFonts w:cs="Times New Roman"/>
          <w:szCs w:val="24"/>
        </w:rPr>
        <w:t xml:space="preserve"> Finnie</w:t>
      </w:r>
      <w:r w:rsidR="00934595">
        <w:rPr>
          <w:rFonts w:cs="Times New Roman"/>
          <w:szCs w:val="24"/>
        </w:rPr>
        <w:t>, 2002).</w:t>
      </w:r>
    </w:p>
    <w:p w14:paraId="3CC3DF5A" w14:textId="43274697" w:rsidR="00516DA2" w:rsidRDefault="00516DA2" w:rsidP="00AA1A92">
      <w:pPr>
        <w:spacing w:after="0" w:line="480" w:lineRule="auto"/>
        <w:ind w:firstLine="720"/>
        <w:rPr>
          <w:rFonts w:cs="Times New Roman"/>
          <w:szCs w:val="24"/>
        </w:rPr>
      </w:pPr>
      <w:r w:rsidRPr="0055435B">
        <w:rPr>
          <w:rFonts w:cs="Times New Roman"/>
          <w:szCs w:val="24"/>
        </w:rPr>
        <w:t xml:space="preserve">There are a variety of financial aid tools used to improve access to higher education, including </w:t>
      </w:r>
      <w:r w:rsidR="00986281">
        <w:rPr>
          <w:rFonts w:cs="Times New Roman"/>
          <w:szCs w:val="24"/>
        </w:rPr>
        <w:t xml:space="preserve">universal aid programs, </w:t>
      </w:r>
      <w:r w:rsidRPr="0055435B">
        <w:rPr>
          <w:rFonts w:cs="Times New Roman"/>
          <w:szCs w:val="24"/>
        </w:rPr>
        <w:t xml:space="preserve">need-based grants, merit scholarships and subsidized loans. The research suggests that </w:t>
      </w:r>
      <w:r w:rsidR="00986281">
        <w:rPr>
          <w:rFonts w:cs="Times New Roman"/>
          <w:szCs w:val="24"/>
        </w:rPr>
        <w:t xml:space="preserve">all but the first of </w:t>
      </w:r>
      <w:r w:rsidRPr="0055435B">
        <w:rPr>
          <w:rFonts w:cs="Times New Roman"/>
          <w:szCs w:val="24"/>
        </w:rPr>
        <w:t xml:space="preserve">these mechanisms can be used to support targeted access opportunities for underrepresented populations. </w:t>
      </w:r>
    </w:p>
    <w:p w14:paraId="2B99DE22" w14:textId="7BF284F1" w:rsidR="00986281" w:rsidRDefault="00986281" w:rsidP="00AA1A92">
      <w:pPr>
        <w:spacing w:after="0" w:line="480" w:lineRule="auto"/>
        <w:ind w:firstLine="720"/>
        <w:rPr>
          <w:rFonts w:cs="Times New Roman"/>
          <w:szCs w:val="24"/>
        </w:rPr>
      </w:pPr>
      <w:r>
        <w:rPr>
          <w:rFonts w:cs="Times New Roman"/>
          <w:szCs w:val="24"/>
        </w:rPr>
        <w:t xml:space="preserve">Universal aid programs designed to support participation in higher education can be found in a number of countries (such as Germany, Austria and France), but they have come to </w:t>
      </w:r>
      <w:r>
        <w:rPr>
          <w:rFonts w:cs="Times New Roman"/>
          <w:szCs w:val="24"/>
        </w:rPr>
        <w:lastRenderedPageBreak/>
        <w:t>play a particularly important role in Canada. The</w:t>
      </w:r>
      <w:r w:rsidR="00C33B8D">
        <w:rPr>
          <w:rFonts w:cs="Times New Roman"/>
          <w:szCs w:val="24"/>
        </w:rPr>
        <w:t xml:space="preserve"> Government of Canada</w:t>
      </w:r>
      <w:r>
        <w:rPr>
          <w:rFonts w:cs="Times New Roman"/>
          <w:szCs w:val="24"/>
        </w:rPr>
        <w:t xml:space="preserve"> provides major tax credits for tuition, maintenance and other costs, and this universal aid program now represents a major component of the government’s investment in student financial assistance (Neill, 2007).</w:t>
      </w:r>
      <w:r w:rsidR="00BD77F2">
        <w:rPr>
          <w:rFonts w:cs="Times New Roman"/>
          <w:szCs w:val="24"/>
        </w:rPr>
        <w:t xml:space="preserve"> However, research suggests that this universal approach to financial assistance is problematic because these mechanisms have little impact on increasing access, especially for under-represented populations. Tax credits are of limited use to individuals who do not earn income, and they do little to reduce the perceived financial risks of pursuing a higher education since the benefits occur long after the costs have been incurred (Fisher et al, 2006;</w:t>
      </w:r>
      <w:r w:rsidR="00CB2AC4">
        <w:rPr>
          <w:rFonts w:cs="Times New Roman"/>
          <w:szCs w:val="24"/>
        </w:rPr>
        <w:t xml:space="preserve"> </w:t>
      </w:r>
      <w:proofErr w:type="spellStart"/>
      <w:r w:rsidR="00CB2AC4">
        <w:rPr>
          <w:rFonts w:cs="Times New Roman"/>
          <w:szCs w:val="24"/>
        </w:rPr>
        <w:t>Junor</w:t>
      </w:r>
      <w:proofErr w:type="spellEnd"/>
      <w:r w:rsidR="00CB2AC4">
        <w:rPr>
          <w:rFonts w:cs="Times New Roman"/>
          <w:szCs w:val="24"/>
        </w:rPr>
        <w:t xml:space="preserve"> &amp; Usher, 2004;</w:t>
      </w:r>
      <w:r w:rsidR="00BD77F2">
        <w:rPr>
          <w:rFonts w:cs="Times New Roman"/>
          <w:szCs w:val="24"/>
        </w:rPr>
        <w:t xml:space="preserve"> Neill, 2007). </w:t>
      </w:r>
      <w:r w:rsidR="00C33B8D">
        <w:rPr>
          <w:rFonts w:cs="Times New Roman"/>
          <w:szCs w:val="24"/>
        </w:rPr>
        <w:t xml:space="preserve"> It is generally argued that the government should reduce its emphasis on universal tax credits and devote more resources to targeted student funding mechanisms, including need-based support. .</w:t>
      </w:r>
    </w:p>
    <w:p w14:paraId="2DC73FC7" w14:textId="77777777" w:rsidR="00EC6A21" w:rsidRDefault="00EC6A21" w:rsidP="00AA1A92">
      <w:pPr>
        <w:spacing w:after="0" w:line="480" w:lineRule="auto"/>
        <w:ind w:firstLine="720"/>
        <w:rPr>
          <w:rFonts w:cs="Times New Roman"/>
          <w:szCs w:val="24"/>
        </w:rPr>
      </w:pPr>
      <w:r w:rsidRPr="00EC6A21">
        <w:rPr>
          <w:rFonts w:cs="Times New Roman"/>
          <w:szCs w:val="24"/>
        </w:rPr>
        <w:t>In addition</w:t>
      </w:r>
      <w:r>
        <w:rPr>
          <w:rFonts w:cs="Times New Roman"/>
          <w:szCs w:val="24"/>
        </w:rPr>
        <w:t xml:space="preserve"> to providing universal tax credits</w:t>
      </w:r>
      <w:r w:rsidRPr="00EC6A21">
        <w:rPr>
          <w:rFonts w:cs="Times New Roman"/>
          <w:szCs w:val="24"/>
        </w:rPr>
        <w:t>, the federal government remains a primary source of student loans in Canada</w:t>
      </w:r>
      <w:r>
        <w:rPr>
          <w:rFonts w:cs="Times New Roman"/>
          <w:szCs w:val="24"/>
        </w:rPr>
        <w:t xml:space="preserve"> through a national program operated in collaboration with the provinces</w:t>
      </w:r>
      <w:r w:rsidRPr="00EC6A21">
        <w:rPr>
          <w:rFonts w:cs="Times New Roman"/>
          <w:szCs w:val="24"/>
        </w:rPr>
        <w:t>. Loan limitations have increased steadily to reflect the ris</w:t>
      </w:r>
      <w:r>
        <w:rPr>
          <w:rFonts w:cs="Times New Roman"/>
          <w:szCs w:val="24"/>
        </w:rPr>
        <w:t xml:space="preserve">ing costs of education. </w:t>
      </w:r>
    </w:p>
    <w:p w14:paraId="54CBDAE8" w14:textId="3FD6B2EA" w:rsidR="00986281" w:rsidRPr="0055435B" w:rsidRDefault="00EC6A21" w:rsidP="00E90255">
      <w:pPr>
        <w:spacing w:after="0" w:line="480" w:lineRule="auto"/>
        <w:ind w:firstLine="720"/>
        <w:rPr>
          <w:rFonts w:cs="Times New Roman"/>
          <w:szCs w:val="24"/>
        </w:rPr>
      </w:pPr>
      <w:r>
        <w:rPr>
          <w:rFonts w:cs="Times New Roman"/>
          <w:szCs w:val="24"/>
        </w:rPr>
        <w:t>There has also been an increasing use</w:t>
      </w:r>
      <w:r w:rsidRPr="00EC6A21">
        <w:rPr>
          <w:rFonts w:cs="Times New Roman"/>
          <w:szCs w:val="24"/>
        </w:rPr>
        <w:t xml:space="preserve"> of grants in the past decade to support students of low and middle income socioeconomic groups. For example, in 2008, the federal Government of Canada announced that </w:t>
      </w:r>
      <w:r>
        <w:rPr>
          <w:rFonts w:cs="Times New Roman"/>
          <w:szCs w:val="24"/>
        </w:rPr>
        <w:t xml:space="preserve">it </w:t>
      </w:r>
      <w:r w:rsidRPr="00EC6A21">
        <w:rPr>
          <w:rFonts w:cs="Times New Roman"/>
          <w:szCs w:val="24"/>
        </w:rPr>
        <w:t xml:space="preserve">would provide non-repayable grants to students through income-based loans via the Canada Student Grant Program. Funding was estimated to be roughly $550 million in the 2011–2012 fiscal year, and provides support to over 245,000 students of low and middle socioeconomic status annually. Further, the Student Loan Repayment Assistance Plan (RAP), initiated in 2009–2010 academic year, is intended as a </w:t>
      </w:r>
      <w:proofErr w:type="gramStart"/>
      <w:r w:rsidRPr="00EC6A21">
        <w:rPr>
          <w:rFonts w:cs="Times New Roman"/>
          <w:szCs w:val="24"/>
        </w:rPr>
        <w:t>support mechanisms</w:t>
      </w:r>
      <w:proofErr w:type="gramEnd"/>
      <w:r w:rsidRPr="00EC6A21">
        <w:rPr>
          <w:rFonts w:cs="Times New Roman"/>
          <w:szCs w:val="24"/>
        </w:rPr>
        <w:t xml:space="preserve"> to ensure that students can afford their loan repayments. This program is designed to recognize and reflect the students’ gross income and family size when calculating loan repayments (Kirby, 2010).</w:t>
      </w:r>
    </w:p>
    <w:p w14:paraId="1EA50E57" w14:textId="5B8AF0C7" w:rsidR="00516DA2" w:rsidRPr="0055435B" w:rsidRDefault="00516DA2" w:rsidP="00AA1A92">
      <w:pPr>
        <w:spacing w:after="0" w:line="480" w:lineRule="auto"/>
        <w:ind w:firstLine="720"/>
        <w:rPr>
          <w:rFonts w:cs="Times New Roman"/>
          <w:szCs w:val="24"/>
        </w:rPr>
      </w:pPr>
      <w:r w:rsidRPr="0055435B">
        <w:rPr>
          <w:rFonts w:cs="Times New Roman"/>
          <w:szCs w:val="24"/>
        </w:rPr>
        <w:lastRenderedPageBreak/>
        <w:t xml:space="preserve">In </w:t>
      </w:r>
      <w:r w:rsidR="00E90255">
        <w:rPr>
          <w:rFonts w:cs="Times New Roman"/>
          <w:szCs w:val="24"/>
        </w:rPr>
        <w:t>Ontario, the Ontario Stu</w:t>
      </w:r>
      <w:r w:rsidR="00934595">
        <w:rPr>
          <w:rFonts w:cs="Times New Roman"/>
          <w:szCs w:val="24"/>
        </w:rPr>
        <w:t xml:space="preserve">dent Assistance Program (OSAP) </w:t>
      </w:r>
      <w:r w:rsidR="004637B4">
        <w:rPr>
          <w:rFonts w:cs="Times New Roman"/>
          <w:szCs w:val="24"/>
        </w:rPr>
        <w:t xml:space="preserve">has recently been expanded to include targeted funding to reduce the burden for full-time undergraduate students with parents earning less than $160,000 per year before taxes. This targeted funding is intended to increase access opportunities for students from lower socioeconomic brackets. </w:t>
      </w:r>
      <w:r w:rsidR="004637B4" w:rsidRPr="004637B4">
        <w:rPr>
          <w:rFonts w:cs="Times New Roman"/>
          <w:szCs w:val="24"/>
        </w:rPr>
        <w:t>“We know coming out of a global recession, getting students from high school to college, from high school to university isn’t an option any more. It’s a necessity for their employment and</w:t>
      </w:r>
      <w:r w:rsidR="004637B4">
        <w:rPr>
          <w:rFonts w:cs="Times New Roman"/>
          <w:szCs w:val="24"/>
        </w:rPr>
        <w:t xml:space="preserve"> for their future,” (Glen Murray as quoted in </w:t>
      </w:r>
      <w:proofErr w:type="spellStart"/>
      <w:r w:rsidR="004637B4">
        <w:rPr>
          <w:rFonts w:cs="Times New Roman"/>
          <w:szCs w:val="24"/>
        </w:rPr>
        <w:t>Abdellatif</w:t>
      </w:r>
      <w:proofErr w:type="spellEnd"/>
      <w:r w:rsidR="004637B4">
        <w:rPr>
          <w:rFonts w:cs="Times New Roman"/>
          <w:szCs w:val="24"/>
        </w:rPr>
        <w:t xml:space="preserve">, 2012). For this program, eligible students can receive up to 30 percent of their </w:t>
      </w:r>
      <w:r w:rsidR="002F70DC">
        <w:rPr>
          <w:rFonts w:cs="Times New Roman"/>
          <w:szCs w:val="24"/>
        </w:rPr>
        <w:t xml:space="preserve">tuition fees in the form of a grant reimbursement. </w:t>
      </w:r>
    </w:p>
    <w:p w14:paraId="7AA507FD" w14:textId="2F8EE1C3" w:rsidR="00CE3D6B" w:rsidRDefault="005F5317" w:rsidP="006A0B02">
      <w:pPr>
        <w:spacing w:line="480" w:lineRule="auto"/>
        <w:rPr>
          <w:rFonts w:cs="Times New Roman"/>
          <w:i/>
          <w:szCs w:val="24"/>
        </w:rPr>
      </w:pPr>
      <w:r>
        <w:rPr>
          <w:rFonts w:cs="Times New Roman"/>
          <w:i/>
          <w:szCs w:val="24"/>
        </w:rPr>
        <w:t>1.3 Regulating Tuition</w:t>
      </w:r>
    </w:p>
    <w:p w14:paraId="2A9A8D35" w14:textId="223A7038" w:rsidR="00E90255" w:rsidRDefault="00E90255" w:rsidP="006A0B02">
      <w:pPr>
        <w:spacing w:line="480" w:lineRule="auto"/>
        <w:rPr>
          <w:rFonts w:cs="Times New Roman"/>
          <w:szCs w:val="24"/>
        </w:rPr>
      </w:pPr>
      <w:r>
        <w:rPr>
          <w:rFonts w:cs="Times New Roman"/>
          <w:szCs w:val="24"/>
        </w:rPr>
        <w:tab/>
        <w:t>Canadian universities are legally autonomous entities with the right to establish their own tuition fees, but all provincial governments have taken steps to regulate fee levels because of concerns that high fee levels will be a barrier to access. Fee levels have</w:t>
      </w:r>
      <w:r w:rsidR="00BC3D87">
        <w:rPr>
          <w:rFonts w:cs="Times New Roman"/>
          <w:szCs w:val="24"/>
        </w:rPr>
        <w:t xml:space="preserve"> also become an important political issue; perhaps the most extreme example was the reaction to the Quebec government’s decision to increase fees in that province, which included the emergence of a major protest movement in 2012 which eventually led to an election and change in government.</w:t>
      </w:r>
    </w:p>
    <w:p w14:paraId="76D8F61E" w14:textId="17A8F3AC" w:rsidR="00552B57" w:rsidRDefault="00BC3D87" w:rsidP="006A0B02">
      <w:pPr>
        <w:spacing w:line="480" w:lineRule="auto"/>
        <w:rPr>
          <w:rFonts w:cs="Times New Roman"/>
          <w:szCs w:val="24"/>
        </w:rPr>
      </w:pPr>
      <w:r>
        <w:rPr>
          <w:rFonts w:cs="Times New Roman"/>
          <w:szCs w:val="24"/>
        </w:rPr>
        <w:tab/>
        <w:t xml:space="preserve">There are now quite different policy approaches to tuition fee levels in different Canadian provinces, and major variations in fee levels. Ontario and Saskatchewan now have the highest fees, while Quebec and Newfoundland and Labrador have the lowest. </w:t>
      </w:r>
      <w:r w:rsidR="005072CA">
        <w:rPr>
          <w:rFonts w:cs="Times New Roman"/>
          <w:szCs w:val="24"/>
        </w:rPr>
        <w:t>Tuition fee policy has also become more complex through the increasing use of differentiated fees where students in some programs (for example</w:t>
      </w:r>
      <w:r w:rsidR="00FC026C">
        <w:rPr>
          <w:rFonts w:cs="Times New Roman"/>
          <w:szCs w:val="24"/>
        </w:rPr>
        <w:t xml:space="preserve"> law or </w:t>
      </w:r>
      <w:r w:rsidR="00F41EDA">
        <w:rPr>
          <w:rFonts w:cs="Times New Roman"/>
          <w:szCs w:val="24"/>
        </w:rPr>
        <w:t>medicine</w:t>
      </w:r>
      <w:r w:rsidR="00FC026C">
        <w:rPr>
          <w:rFonts w:cs="Times New Roman"/>
          <w:szCs w:val="24"/>
        </w:rPr>
        <w:t>) pay higher fees than students in other programs (for example history), frequently based on the notion that some programs will have higher personal rates of return than others</w:t>
      </w:r>
      <w:r w:rsidR="00F41EDA">
        <w:rPr>
          <w:rFonts w:cs="Times New Roman"/>
          <w:szCs w:val="24"/>
        </w:rPr>
        <w:t>.</w:t>
      </w:r>
    </w:p>
    <w:p w14:paraId="229575DB" w14:textId="77777777" w:rsidR="00BB0974" w:rsidRDefault="00BB0974" w:rsidP="00BB0974">
      <w:pPr>
        <w:spacing w:line="480" w:lineRule="auto"/>
        <w:ind w:firstLine="720"/>
        <w:rPr>
          <w:rFonts w:cs="Times New Roman"/>
          <w:szCs w:val="24"/>
        </w:rPr>
      </w:pPr>
      <w:r>
        <w:rPr>
          <w:rFonts w:cs="Times New Roman"/>
          <w:szCs w:val="24"/>
        </w:rPr>
        <w:lastRenderedPageBreak/>
        <w:t xml:space="preserve">Tuition fees have been regulated, deregulated, increased and frozen at various times across provinces in Canada. British Columbia and Ontario have both experimented with tuition freezes and fee deregulation in the past two decades. Manitoba and Newfoundland and Labrador decreased tuition fees in order to increase access through affordability. </w:t>
      </w:r>
    </w:p>
    <w:p w14:paraId="4F3D33AA" w14:textId="55F20055" w:rsidR="00BB0974" w:rsidRDefault="00BB0974" w:rsidP="00F41EDA">
      <w:pPr>
        <w:spacing w:line="480" w:lineRule="auto"/>
        <w:ind w:firstLine="720"/>
        <w:rPr>
          <w:rFonts w:cs="Times New Roman"/>
          <w:szCs w:val="24"/>
        </w:rPr>
      </w:pPr>
      <w:r>
        <w:rPr>
          <w:rFonts w:cs="Times New Roman"/>
          <w:szCs w:val="24"/>
        </w:rPr>
        <w:t xml:space="preserve">One example of tuition fee de-regulation and re-regulation occurred in the Ontario system in the late 1990s. The Harris government re-regulated university and college fees by controlling fee increases in some programs, but allowing universities to determine fee levels in others (Jones, 2004). The student aid system was adjusted in order to support students in need though the loans did not support those from the middle class. Davies and Quirke (2002) found an overrepresentation of students from increasingly wealthy families at medical school at the University of Western Ontario following the introduction of this tuition adjustment. </w:t>
      </w:r>
      <w:r w:rsidR="00F41EDA" w:rsidRPr="00F41EDA">
        <w:rPr>
          <w:rFonts w:cs="Times New Roman"/>
          <w:szCs w:val="24"/>
        </w:rPr>
        <w:t>Some studies have suggested that the impact of differential fees on access can be address through the provision of additional student financial support (</w:t>
      </w:r>
      <w:proofErr w:type="spellStart"/>
      <w:r w:rsidR="00F41EDA" w:rsidRPr="00F41EDA">
        <w:rPr>
          <w:rFonts w:cs="Times New Roman"/>
          <w:szCs w:val="24"/>
        </w:rPr>
        <w:t>Snowdon</w:t>
      </w:r>
      <w:proofErr w:type="spellEnd"/>
      <w:r w:rsidR="00F41EDA" w:rsidRPr="00F41EDA">
        <w:rPr>
          <w:rFonts w:cs="Times New Roman"/>
          <w:szCs w:val="24"/>
        </w:rPr>
        <w:t xml:space="preserve"> &amp; Associates, 2008).</w:t>
      </w:r>
    </w:p>
    <w:p w14:paraId="2758EEF1" w14:textId="08C9477B" w:rsidR="002034C3" w:rsidRDefault="00BC3D87" w:rsidP="002034C3">
      <w:pPr>
        <w:spacing w:line="480" w:lineRule="auto"/>
        <w:ind w:firstLine="720"/>
        <w:rPr>
          <w:rFonts w:cs="Times New Roman"/>
          <w:szCs w:val="24"/>
        </w:rPr>
      </w:pPr>
      <w:r>
        <w:rPr>
          <w:rFonts w:cs="Times New Roman"/>
          <w:szCs w:val="24"/>
        </w:rPr>
        <w:t xml:space="preserve">Studies of the relationship between tuition fee levels and participation rates have generally found that </w:t>
      </w:r>
      <w:r w:rsidR="005803EC">
        <w:rPr>
          <w:rFonts w:cs="Times New Roman"/>
          <w:szCs w:val="24"/>
        </w:rPr>
        <w:t xml:space="preserve">participation rates do not decline as tuition increases; the relationship is far more nuanced and complex. Some studies have suggested that some subpopulations may be more sensitive to tuition fee levels than others, and that these differences in price sensitivity may have an impact on access for specific under-represented populations (such as low-income and black students) (Finnie, Laporte &amp; </w:t>
      </w:r>
      <w:proofErr w:type="spellStart"/>
      <w:r w:rsidR="005803EC">
        <w:rPr>
          <w:rFonts w:cs="Times New Roman"/>
          <w:szCs w:val="24"/>
        </w:rPr>
        <w:t>Lascellas</w:t>
      </w:r>
      <w:proofErr w:type="spellEnd"/>
      <w:r w:rsidR="005803EC">
        <w:rPr>
          <w:rFonts w:cs="Times New Roman"/>
          <w:szCs w:val="24"/>
        </w:rPr>
        <w:t xml:space="preserve">, 2004; </w:t>
      </w:r>
      <w:proofErr w:type="spellStart"/>
      <w:r w:rsidR="005803EC">
        <w:rPr>
          <w:rFonts w:cs="Times New Roman"/>
          <w:szCs w:val="24"/>
        </w:rPr>
        <w:t>Wellen</w:t>
      </w:r>
      <w:proofErr w:type="spellEnd"/>
      <w:r w:rsidR="005803EC">
        <w:rPr>
          <w:rFonts w:cs="Times New Roman"/>
          <w:szCs w:val="24"/>
        </w:rPr>
        <w:t xml:space="preserve">, 2004). </w:t>
      </w:r>
      <w:r w:rsidR="00C55E2B">
        <w:rPr>
          <w:rFonts w:cs="Times New Roman"/>
          <w:szCs w:val="24"/>
        </w:rPr>
        <w:t>One of the core challenges associated with research on the impact of tuition fee levels on access is understanding the complex interplay between tuition fee levels, student financial assistance mechanisms, living costs, and student income (from earnings or family support).</w:t>
      </w:r>
      <w:r w:rsidR="002034C3" w:rsidRPr="002034C3">
        <w:rPr>
          <w:rFonts w:cs="Times New Roman"/>
          <w:szCs w:val="24"/>
        </w:rPr>
        <w:t xml:space="preserve"> </w:t>
      </w:r>
    </w:p>
    <w:p w14:paraId="405D2F19" w14:textId="777B081D" w:rsidR="00C55E2B" w:rsidRPr="00E90255" w:rsidRDefault="00C55E2B" w:rsidP="006A0B02">
      <w:pPr>
        <w:spacing w:line="480" w:lineRule="auto"/>
        <w:rPr>
          <w:rFonts w:cs="Times New Roman"/>
          <w:szCs w:val="24"/>
        </w:rPr>
      </w:pPr>
    </w:p>
    <w:p w14:paraId="479A5668" w14:textId="5B5BC497" w:rsidR="00ED2CAF" w:rsidRPr="00E32237" w:rsidRDefault="005F5317" w:rsidP="006A0B02">
      <w:pPr>
        <w:spacing w:line="480" w:lineRule="auto"/>
        <w:rPr>
          <w:rFonts w:cs="Times New Roman"/>
          <w:i/>
          <w:szCs w:val="24"/>
        </w:rPr>
      </w:pPr>
      <w:r>
        <w:rPr>
          <w:rFonts w:cs="Times New Roman"/>
          <w:i/>
          <w:szCs w:val="24"/>
        </w:rPr>
        <w:t>1.3 Performance-based F</w:t>
      </w:r>
      <w:r w:rsidR="00ED2CAF" w:rsidRPr="00E32237">
        <w:rPr>
          <w:rFonts w:cs="Times New Roman"/>
          <w:i/>
          <w:szCs w:val="24"/>
        </w:rPr>
        <w:t>unding</w:t>
      </w:r>
    </w:p>
    <w:p w14:paraId="4DB861BC" w14:textId="7C43FB86" w:rsidR="001E0D5B" w:rsidRDefault="001E0D5B" w:rsidP="006A0B02">
      <w:pPr>
        <w:widowControl w:val="0"/>
        <w:autoSpaceDE w:val="0"/>
        <w:autoSpaceDN w:val="0"/>
        <w:adjustRightInd w:val="0"/>
        <w:spacing w:line="480" w:lineRule="auto"/>
        <w:ind w:firstLine="720"/>
        <w:rPr>
          <w:rFonts w:cs="Times New Roman"/>
          <w:color w:val="000000"/>
          <w:szCs w:val="24"/>
        </w:rPr>
      </w:pPr>
      <w:r>
        <w:rPr>
          <w:rFonts w:cs="Times New Roman"/>
          <w:color w:val="000000"/>
          <w:szCs w:val="24"/>
        </w:rPr>
        <w:t>P</w:t>
      </w:r>
      <w:r w:rsidRPr="001E0D5B">
        <w:rPr>
          <w:rFonts w:cs="Times New Roman"/>
          <w:color w:val="000000"/>
          <w:szCs w:val="24"/>
        </w:rPr>
        <w:t>erformance funding of post-secondary institutions became increasingly common</w:t>
      </w:r>
      <w:r>
        <w:rPr>
          <w:rFonts w:cs="Times New Roman"/>
          <w:color w:val="000000"/>
          <w:szCs w:val="24"/>
        </w:rPr>
        <w:t xml:space="preserve"> in the United States</w:t>
      </w:r>
      <w:r w:rsidR="00016BB2">
        <w:rPr>
          <w:rFonts w:cs="Times New Roman"/>
          <w:color w:val="000000"/>
          <w:szCs w:val="24"/>
        </w:rPr>
        <w:t xml:space="preserve">, starting with </w:t>
      </w:r>
      <w:r w:rsidRPr="001E0D5B">
        <w:rPr>
          <w:rFonts w:cs="Times New Roman"/>
          <w:color w:val="000000"/>
          <w:szCs w:val="24"/>
        </w:rPr>
        <w:t xml:space="preserve">Tennessee’s 1979 program, though </w:t>
      </w:r>
      <w:r>
        <w:rPr>
          <w:rFonts w:cs="Times New Roman"/>
          <w:color w:val="000000"/>
          <w:szCs w:val="24"/>
        </w:rPr>
        <w:t xml:space="preserve">the use of these mechanisms </w:t>
      </w:r>
      <w:r w:rsidRPr="001E0D5B">
        <w:rPr>
          <w:rFonts w:cs="Times New Roman"/>
          <w:color w:val="000000"/>
          <w:szCs w:val="24"/>
        </w:rPr>
        <w:t xml:space="preserve">receded in the early 2000s as many states began to rethink these measures (Dougherty &amp; </w:t>
      </w:r>
      <w:proofErr w:type="spellStart"/>
      <w:r w:rsidRPr="001E0D5B">
        <w:rPr>
          <w:rFonts w:cs="Times New Roman"/>
          <w:color w:val="000000"/>
          <w:szCs w:val="24"/>
        </w:rPr>
        <w:t>Natow</w:t>
      </w:r>
      <w:proofErr w:type="spellEnd"/>
      <w:r w:rsidRPr="001E0D5B">
        <w:rPr>
          <w:rFonts w:cs="Times New Roman"/>
          <w:color w:val="000000"/>
          <w:szCs w:val="24"/>
        </w:rPr>
        <w:t xml:space="preserve">, 2009). </w:t>
      </w:r>
      <w:r>
        <w:rPr>
          <w:rFonts w:cs="Times New Roman"/>
          <w:color w:val="000000"/>
          <w:szCs w:val="24"/>
        </w:rPr>
        <w:t xml:space="preserve">As Dan Lang </w:t>
      </w:r>
      <w:r w:rsidR="00934595">
        <w:rPr>
          <w:rFonts w:cs="Times New Roman"/>
          <w:color w:val="000000"/>
          <w:szCs w:val="24"/>
        </w:rPr>
        <w:t xml:space="preserve">(2012) </w:t>
      </w:r>
      <w:r>
        <w:rPr>
          <w:rFonts w:cs="Times New Roman"/>
          <w:color w:val="000000"/>
          <w:szCs w:val="24"/>
        </w:rPr>
        <w:t xml:space="preserve">notes in his comprehensive analysis of incentive funding mechanisms, eight of the ten Canadian provinces have introduced some form of performance indicators within higher education, all of which are directly or indirectly tied to funding. </w:t>
      </w:r>
      <w:r w:rsidR="00016BB2">
        <w:rPr>
          <w:rFonts w:cs="Times New Roman"/>
          <w:color w:val="000000"/>
          <w:szCs w:val="24"/>
        </w:rPr>
        <w:t xml:space="preserve">It is not unusual for performance funding to be tied to access, either in terms of participation (incentives to increase overall enrolment), targeted participation (incentives to increase the enrollment of individuals from particular groups), or student success (incentives to increase graduation rates or graduate employment). </w:t>
      </w:r>
    </w:p>
    <w:p w14:paraId="2C901E38" w14:textId="4798CE60" w:rsidR="00D26331" w:rsidRPr="00E32237" w:rsidRDefault="00016BB2" w:rsidP="00BE4391">
      <w:pPr>
        <w:widowControl w:val="0"/>
        <w:autoSpaceDE w:val="0"/>
        <w:autoSpaceDN w:val="0"/>
        <w:adjustRightInd w:val="0"/>
        <w:spacing w:line="480" w:lineRule="auto"/>
        <w:ind w:firstLine="720"/>
        <w:rPr>
          <w:rFonts w:cs="Times New Roman"/>
          <w:color w:val="000000"/>
          <w:szCs w:val="24"/>
        </w:rPr>
      </w:pPr>
      <w:r>
        <w:rPr>
          <w:rFonts w:cs="Times New Roman"/>
          <w:color w:val="000000"/>
          <w:szCs w:val="24"/>
        </w:rPr>
        <w:t xml:space="preserve">Lang </w:t>
      </w:r>
      <w:r w:rsidR="00C70FF2">
        <w:rPr>
          <w:rFonts w:cs="Times New Roman"/>
          <w:color w:val="000000"/>
          <w:szCs w:val="24"/>
        </w:rPr>
        <w:t xml:space="preserve">(2012) </w:t>
      </w:r>
      <w:r>
        <w:rPr>
          <w:rFonts w:cs="Times New Roman"/>
          <w:color w:val="000000"/>
          <w:szCs w:val="24"/>
        </w:rPr>
        <w:t xml:space="preserve">notes that the </w:t>
      </w:r>
      <w:r w:rsidR="006A0B02">
        <w:rPr>
          <w:rFonts w:cs="Times New Roman"/>
          <w:color w:val="000000"/>
          <w:szCs w:val="24"/>
        </w:rPr>
        <w:t>success of performance-funding mechanisms depends</w:t>
      </w:r>
      <w:r>
        <w:rPr>
          <w:rFonts w:cs="Times New Roman"/>
          <w:color w:val="000000"/>
          <w:szCs w:val="24"/>
        </w:rPr>
        <w:t xml:space="preserve"> largely on the degree to which policies incentivize change. Mechanisms involving new money essentially provide institutions with a choice of whether to engage in the activity, and institutions will make a decision based on a cost-benefit analysis. </w:t>
      </w:r>
      <w:r w:rsidR="006A0B02">
        <w:rPr>
          <w:rFonts w:cs="Times New Roman"/>
          <w:color w:val="000000"/>
          <w:szCs w:val="24"/>
        </w:rPr>
        <w:t>Mechanisms</w:t>
      </w:r>
      <w:r>
        <w:rPr>
          <w:rFonts w:cs="Times New Roman"/>
          <w:color w:val="000000"/>
          <w:szCs w:val="24"/>
        </w:rPr>
        <w:t xml:space="preserve"> involving existing money (shifting the distribution of existing funding from one mechanism to another) are difficult for institutions to ignore since failing to respond may</w:t>
      </w:r>
      <w:r w:rsidR="005072CA">
        <w:rPr>
          <w:rFonts w:cs="Times New Roman"/>
          <w:color w:val="000000"/>
          <w:szCs w:val="24"/>
        </w:rPr>
        <w:t xml:space="preserve"> lead to a decrease in resources. There is also the important question of whether the level of performance-funding is enough to incentivize change; institutions may decide that the incentive funding associated with a particular initiative may simply not be enough to address the costs associated with increasing performance. Lang concludes that the track-record of performance funding as a policy mech</w:t>
      </w:r>
      <w:r w:rsidR="0014653E">
        <w:rPr>
          <w:rFonts w:cs="Times New Roman"/>
          <w:color w:val="000000"/>
          <w:szCs w:val="24"/>
        </w:rPr>
        <w:t xml:space="preserve">anism is not good; these </w:t>
      </w:r>
      <w:r w:rsidR="0014653E">
        <w:rPr>
          <w:rFonts w:cs="Times New Roman"/>
          <w:color w:val="000000"/>
          <w:szCs w:val="24"/>
        </w:rPr>
        <w:lastRenderedPageBreak/>
        <w:t>mechan</w:t>
      </w:r>
      <w:r w:rsidR="005072CA">
        <w:rPr>
          <w:rFonts w:cs="Times New Roman"/>
          <w:color w:val="000000"/>
          <w:szCs w:val="24"/>
        </w:rPr>
        <w:t>isms are frequently expensive and inefficient tools of public policy.</w:t>
      </w:r>
    </w:p>
    <w:p w14:paraId="3E696019" w14:textId="1C898980" w:rsidR="00B01EE6" w:rsidRPr="001E0D5B" w:rsidRDefault="00B01EE6" w:rsidP="00AC47C6">
      <w:pPr>
        <w:spacing w:line="480" w:lineRule="auto"/>
        <w:rPr>
          <w:rFonts w:cs="Times New Roman"/>
          <w:b/>
          <w:szCs w:val="24"/>
        </w:rPr>
      </w:pPr>
      <w:r w:rsidRPr="001E0D5B">
        <w:rPr>
          <w:rFonts w:cs="Times New Roman"/>
          <w:b/>
          <w:szCs w:val="24"/>
        </w:rPr>
        <w:t>Part II: Involving community</w:t>
      </w:r>
    </w:p>
    <w:p w14:paraId="54553C8B" w14:textId="4C320EE4" w:rsidR="00B01EE6" w:rsidRDefault="0060181A" w:rsidP="00AC47C6">
      <w:pPr>
        <w:spacing w:line="480" w:lineRule="auto"/>
        <w:rPr>
          <w:rFonts w:cs="Times New Roman"/>
          <w:szCs w:val="24"/>
        </w:rPr>
      </w:pPr>
      <w:r>
        <w:rPr>
          <w:rFonts w:cs="Times New Roman"/>
          <w:szCs w:val="24"/>
        </w:rPr>
        <w:t>While governments and institutions play important roles in promoting access, it is important to recognize that the</w:t>
      </w:r>
      <w:r w:rsidR="00F41EDA">
        <w:rPr>
          <w:rFonts w:cs="Times New Roman"/>
          <w:szCs w:val="24"/>
        </w:rPr>
        <w:t>re</w:t>
      </w:r>
      <w:r>
        <w:rPr>
          <w:rFonts w:cs="Times New Roman"/>
          <w:szCs w:val="24"/>
        </w:rPr>
        <w:t xml:space="preserve"> are a wide range of complex factors associated with the decision to attend postsecondary education, as well as</w:t>
      </w:r>
      <w:r w:rsidR="00F41EDA">
        <w:rPr>
          <w:rFonts w:cs="Times New Roman"/>
          <w:szCs w:val="24"/>
        </w:rPr>
        <w:t xml:space="preserve"> a</w:t>
      </w:r>
      <w:r>
        <w:rPr>
          <w:rFonts w:cs="Times New Roman"/>
          <w:szCs w:val="24"/>
        </w:rPr>
        <w:t xml:space="preserve"> plethora of factors that influence student success. </w:t>
      </w:r>
      <w:r w:rsidR="0027748C">
        <w:rPr>
          <w:rFonts w:cs="Times New Roman"/>
          <w:szCs w:val="24"/>
        </w:rPr>
        <w:t>Governments are increasing working with local communities that can play an important role in motivating students to attend, assisting students in preparing for higher education, and supporting student success. These relationships may be particularly important when discussing access for under-represented populations. Some students may simply choose not to apply, and “this self selection process eliminates many qualified students, often on the basis of family background or other characteristics over which they have no control” (Canadian Policy Research Network, 2002, p. 6). A number of Canadian provincial governments have supported initiatives designed</w:t>
      </w:r>
      <w:r w:rsidR="00B91D02">
        <w:rPr>
          <w:rFonts w:cs="Times New Roman"/>
          <w:szCs w:val="24"/>
        </w:rPr>
        <w:t xml:space="preserve"> to increase access through</w:t>
      </w:r>
      <w:r w:rsidR="0027748C">
        <w:rPr>
          <w:rFonts w:cs="Times New Roman"/>
          <w:szCs w:val="24"/>
        </w:rPr>
        <w:t xml:space="preserve"> community-based </w:t>
      </w:r>
      <w:r w:rsidR="00B91D02">
        <w:rPr>
          <w:rFonts w:cs="Times New Roman"/>
          <w:szCs w:val="24"/>
        </w:rPr>
        <w:t xml:space="preserve">social and academic student support programs. </w:t>
      </w:r>
      <w:r w:rsidR="00AC47C6">
        <w:rPr>
          <w:rFonts w:cs="Times New Roman"/>
          <w:szCs w:val="24"/>
        </w:rPr>
        <w:t>For example, the more successful initiatives designed to further access for Canada’s Aboriginal peoples often involve community-based initiatives, including the British Columbia Strategy (2007) discussed above.</w:t>
      </w:r>
    </w:p>
    <w:p w14:paraId="2986477E" w14:textId="4432D36B" w:rsidR="007E1F7A" w:rsidRDefault="007E1F7A" w:rsidP="00AC47C6">
      <w:pPr>
        <w:spacing w:line="480" w:lineRule="auto"/>
        <w:rPr>
          <w:rFonts w:cs="Times New Roman"/>
          <w:szCs w:val="24"/>
        </w:rPr>
      </w:pPr>
      <w:r>
        <w:rPr>
          <w:rFonts w:cs="Times New Roman"/>
          <w:szCs w:val="24"/>
        </w:rPr>
        <w:tab/>
        <w:t xml:space="preserve">The Canadian Policy Research Network (2002) found that financial support is insufficient for expanding access and encouraging success in post-secondary education. </w:t>
      </w:r>
      <w:r w:rsidR="00F05E7E">
        <w:rPr>
          <w:rFonts w:cs="Times New Roman"/>
          <w:szCs w:val="24"/>
        </w:rPr>
        <w:t xml:space="preserve">One of the strongest indicators of whether a student will continue with post-secondary education is related to the students’ own expectation and plan to pursue this education. </w:t>
      </w:r>
      <w:r>
        <w:rPr>
          <w:rFonts w:cs="Times New Roman"/>
          <w:szCs w:val="24"/>
        </w:rPr>
        <w:t xml:space="preserve">Community based programming is implemented due to the need to </w:t>
      </w:r>
      <w:r w:rsidR="00F05E7E">
        <w:rPr>
          <w:rFonts w:cs="Times New Roman"/>
          <w:szCs w:val="24"/>
        </w:rPr>
        <w:t xml:space="preserve">provide a network of </w:t>
      </w:r>
      <w:r>
        <w:rPr>
          <w:rFonts w:cs="Times New Roman"/>
          <w:szCs w:val="24"/>
        </w:rPr>
        <w:t>support and encourage</w:t>
      </w:r>
      <w:r w:rsidR="00F05E7E">
        <w:rPr>
          <w:rFonts w:cs="Times New Roman"/>
          <w:szCs w:val="24"/>
        </w:rPr>
        <w:t>ment for</w:t>
      </w:r>
      <w:r>
        <w:rPr>
          <w:rFonts w:cs="Times New Roman"/>
          <w:szCs w:val="24"/>
        </w:rPr>
        <w:t xml:space="preserve"> students </w:t>
      </w:r>
      <w:r w:rsidR="00F05E7E">
        <w:rPr>
          <w:rFonts w:cs="Times New Roman"/>
          <w:szCs w:val="24"/>
        </w:rPr>
        <w:t>who may otherwise not have the opportunity to consider post-</w:t>
      </w:r>
      <w:r w:rsidR="00F05E7E">
        <w:rPr>
          <w:rFonts w:cs="Times New Roman"/>
          <w:szCs w:val="24"/>
        </w:rPr>
        <w:lastRenderedPageBreak/>
        <w:t>secondary education.</w:t>
      </w:r>
      <w:r>
        <w:rPr>
          <w:rFonts w:cs="Times New Roman"/>
          <w:szCs w:val="24"/>
        </w:rPr>
        <w:t xml:space="preserve"> </w:t>
      </w:r>
      <w:r w:rsidR="00F05E7E">
        <w:rPr>
          <w:rFonts w:cs="Times New Roman"/>
          <w:szCs w:val="24"/>
        </w:rPr>
        <w:t xml:space="preserve">For example, the Rae Report (2005) </w:t>
      </w:r>
      <w:r w:rsidR="00BE4391">
        <w:rPr>
          <w:rFonts w:cs="Times New Roman"/>
          <w:szCs w:val="24"/>
        </w:rPr>
        <w:t xml:space="preserve">emphasized the </w:t>
      </w:r>
      <w:proofErr w:type="gramStart"/>
      <w:r w:rsidR="00BE4391">
        <w:rPr>
          <w:rFonts w:cs="Times New Roman"/>
          <w:szCs w:val="24"/>
        </w:rPr>
        <w:t xml:space="preserve">importance </w:t>
      </w:r>
      <w:r w:rsidR="00F05E7E">
        <w:rPr>
          <w:rFonts w:cs="Times New Roman"/>
          <w:szCs w:val="24"/>
        </w:rPr>
        <w:t xml:space="preserve"> some</w:t>
      </w:r>
      <w:proofErr w:type="gramEnd"/>
      <w:r w:rsidR="00F05E7E">
        <w:rPr>
          <w:rFonts w:cs="Times New Roman"/>
          <w:szCs w:val="24"/>
        </w:rPr>
        <w:t xml:space="preserve"> outreach programs. It was argued that “outreach programs for low-income groups, persons with disabilities, Aboriginal peoples, some rational minorities and francophones could be better encouraged and supported” (p. 18) through community based programming and outreach. </w:t>
      </w:r>
    </w:p>
    <w:p w14:paraId="2ECC56B0" w14:textId="691C5C36" w:rsidR="00AC47C6" w:rsidRPr="006C6FEF" w:rsidRDefault="00B91D02" w:rsidP="006C6FEF">
      <w:pPr>
        <w:spacing w:line="480" w:lineRule="auto"/>
        <w:rPr>
          <w:rFonts w:cs="Times New Roman"/>
          <w:szCs w:val="24"/>
        </w:rPr>
      </w:pPr>
      <w:r>
        <w:rPr>
          <w:rFonts w:cs="Times New Roman"/>
          <w:szCs w:val="24"/>
        </w:rPr>
        <w:tab/>
        <w:t>One important example is Pathways to Education</w:t>
      </w:r>
      <w:r w:rsidR="00953D2F">
        <w:rPr>
          <w:rStyle w:val="FootnoteReference"/>
          <w:rFonts w:cs="Times New Roman"/>
          <w:szCs w:val="24"/>
        </w:rPr>
        <w:footnoteReference w:id="1"/>
      </w:r>
      <w:r>
        <w:rPr>
          <w:rFonts w:cs="Times New Roman"/>
          <w:szCs w:val="24"/>
        </w:rPr>
        <w:t>, a charitable foundation that was originally created by the Regent Park Community Health Centre in Toronto.  Pathways to Education pro</w:t>
      </w:r>
      <w:r w:rsidRPr="006C6FEF">
        <w:rPr>
          <w:rFonts w:cs="Times New Roman"/>
          <w:szCs w:val="24"/>
        </w:rPr>
        <w:t>vides four different types of students located in the community (academic, social, financial and advocacy) in order to help young people graduate from high school, continue on to higher education, and succeed in their career development. Evaluations of</w:t>
      </w:r>
      <w:r w:rsidRPr="00915480">
        <w:rPr>
          <w:rFonts w:cs="Times New Roman"/>
          <w:szCs w:val="24"/>
        </w:rPr>
        <w:t xml:space="preserve"> the initial program were so successful that</w:t>
      </w:r>
      <w:r w:rsidR="00AC47C6" w:rsidRPr="006C6FEF">
        <w:rPr>
          <w:rFonts w:cs="Times New Roman"/>
          <w:szCs w:val="24"/>
        </w:rPr>
        <w:t xml:space="preserve"> the foundation now receives support from the governments of Canada and Ontario</w:t>
      </w:r>
      <w:r w:rsidRPr="006C6FEF">
        <w:rPr>
          <w:rFonts w:cs="Times New Roman"/>
          <w:szCs w:val="24"/>
        </w:rPr>
        <w:t xml:space="preserve"> the Ontari</w:t>
      </w:r>
      <w:r w:rsidR="00AC47C6" w:rsidRPr="006C6FEF">
        <w:rPr>
          <w:rFonts w:cs="Times New Roman"/>
          <w:szCs w:val="24"/>
        </w:rPr>
        <w:t>o government and the initiative has expanded into 12 communities across Canada</w:t>
      </w:r>
      <w:r w:rsidRPr="006C6FEF">
        <w:rPr>
          <w:rFonts w:cs="Times New Roman"/>
          <w:szCs w:val="24"/>
        </w:rPr>
        <w:t>.</w:t>
      </w:r>
    </w:p>
    <w:p w14:paraId="7A9E01F6" w14:textId="42684BF9" w:rsidR="00D93DFF" w:rsidRPr="00BE4391" w:rsidRDefault="00D93DFF" w:rsidP="00BE4391">
      <w:pPr>
        <w:spacing w:line="480" w:lineRule="auto"/>
        <w:rPr>
          <w:rFonts w:cs="Times New Roman"/>
          <w:szCs w:val="24"/>
        </w:rPr>
      </w:pPr>
      <w:r w:rsidRPr="006C6FEF">
        <w:rPr>
          <w:rFonts w:cs="Times New Roman"/>
          <w:szCs w:val="24"/>
        </w:rPr>
        <w:tab/>
        <w:t xml:space="preserve">Manitoba enacted </w:t>
      </w:r>
      <w:r w:rsidRPr="00BE4391">
        <w:rPr>
          <w:rFonts w:cs="Times New Roman"/>
          <w:i/>
          <w:szCs w:val="24"/>
        </w:rPr>
        <w:t>The Adult Literacy Act</w:t>
      </w:r>
      <w:r w:rsidRPr="00BE4391">
        <w:rPr>
          <w:rFonts w:cs="Times New Roman"/>
          <w:szCs w:val="24"/>
        </w:rPr>
        <w:t xml:space="preserve"> and the specific addition of the </w:t>
      </w:r>
      <w:r w:rsidRPr="00BE4391">
        <w:rPr>
          <w:rFonts w:cs="Times New Roman"/>
          <w:i/>
          <w:szCs w:val="24"/>
        </w:rPr>
        <w:t>Adult Literacy Regulation</w:t>
      </w:r>
      <w:r w:rsidRPr="00BE4391">
        <w:rPr>
          <w:rFonts w:cs="Times New Roman"/>
          <w:szCs w:val="24"/>
        </w:rPr>
        <w:t xml:space="preserve">, both of which came into effect as of January 2009. As of 2010, these literacy programs involved 45 adult learning </w:t>
      </w:r>
      <w:proofErr w:type="spellStart"/>
      <w:r w:rsidRPr="00BE4391">
        <w:rPr>
          <w:rFonts w:cs="Times New Roman"/>
          <w:szCs w:val="24"/>
        </w:rPr>
        <w:t>centres</w:t>
      </w:r>
      <w:proofErr w:type="spellEnd"/>
      <w:r w:rsidRPr="00BE4391">
        <w:rPr>
          <w:rFonts w:cs="Times New Roman"/>
          <w:szCs w:val="24"/>
        </w:rPr>
        <w:t xml:space="preserve"> that provided programming to just over 9000 adults. Forty-one (41) adult learning </w:t>
      </w:r>
      <w:proofErr w:type="spellStart"/>
      <w:r w:rsidRPr="00BE4391">
        <w:rPr>
          <w:rFonts w:cs="Times New Roman"/>
          <w:szCs w:val="24"/>
        </w:rPr>
        <w:t>centres</w:t>
      </w:r>
      <w:proofErr w:type="spellEnd"/>
      <w:r w:rsidRPr="00BE4391">
        <w:rPr>
          <w:rFonts w:cs="Times New Roman"/>
          <w:szCs w:val="24"/>
        </w:rPr>
        <w:t xml:space="preserve"> </w:t>
      </w:r>
      <w:r w:rsidR="006C6FEF">
        <w:rPr>
          <w:rFonts w:cs="Times New Roman"/>
          <w:szCs w:val="24"/>
        </w:rPr>
        <w:t xml:space="preserve">operate in 57 locations across the province, many specifically operating in areas where there are underrepresented populations. </w:t>
      </w:r>
      <w:r w:rsidR="000F6E12">
        <w:rPr>
          <w:rFonts w:cs="Times New Roman"/>
          <w:szCs w:val="24"/>
        </w:rPr>
        <w:t xml:space="preserve">Under the </w:t>
      </w:r>
      <w:r w:rsidR="000F6E12" w:rsidRPr="00BE4391">
        <w:rPr>
          <w:rFonts w:cs="Times New Roman"/>
          <w:i/>
          <w:szCs w:val="24"/>
        </w:rPr>
        <w:t xml:space="preserve">Adult Learning </w:t>
      </w:r>
      <w:proofErr w:type="spellStart"/>
      <w:r w:rsidR="000F6E12" w:rsidRPr="00BE4391">
        <w:rPr>
          <w:rFonts w:cs="Times New Roman"/>
          <w:i/>
          <w:szCs w:val="24"/>
        </w:rPr>
        <w:t>Centres</w:t>
      </w:r>
      <w:proofErr w:type="spellEnd"/>
      <w:r w:rsidR="000F6E12" w:rsidRPr="00BE4391">
        <w:rPr>
          <w:rFonts w:cs="Times New Roman"/>
          <w:i/>
          <w:szCs w:val="24"/>
        </w:rPr>
        <w:t xml:space="preserve"> Act </w:t>
      </w:r>
      <w:r w:rsidR="000F6E12">
        <w:rPr>
          <w:rFonts w:cs="Times New Roman"/>
          <w:szCs w:val="24"/>
        </w:rPr>
        <w:t xml:space="preserve">(2003), the accountability standards require that these community </w:t>
      </w:r>
      <w:proofErr w:type="spellStart"/>
      <w:r w:rsidR="000F6E12">
        <w:rPr>
          <w:rFonts w:cs="Times New Roman"/>
          <w:szCs w:val="24"/>
        </w:rPr>
        <w:t>centres</w:t>
      </w:r>
      <w:proofErr w:type="spellEnd"/>
      <w:r w:rsidR="000F6E12">
        <w:rPr>
          <w:rFonts w:cs="Times New Roman"/>
          <w:szCs w:val="24"/>
        </w:rPr>
        <w:t xml:space="preserve"> offer a minimum of six hours of instruction per week for learners and be accountable for their portion of the provincial</w:t>
      </w:r>
      <w:r w:rsidR="006C6FEF" w:rsidRPr="00BE4391">
        <w:rPr>
          <w:rFonts w:cs="Times New Roman"/>
          <w:szCs w:val="24"/>
        </w:rPr>
        <w:t xml:space="preserve"> grants totaling $16,458,000 (Manitoba, 2011). </w:t>
      </w:r>
    </w:p>
    <w:p w14:paraId="65007922" w14:textId="6CE581FD" w:rsidR="00B01EE6" w:rsidRPr="0055435B" w:rsidRDefault="000F6E12" w:rsidP="00BE4391">
      <w:pPr>
        <w:widowControl w:val="0"/>
        <w:autoSpaceDE w:val="0"/>
        <w:autoSpaceDN w:val="0"/>
        <w:adjustRightInd w:val="0"/>
        <w:spacing w:line="480" w:lineRule="auto"/>
        <w:ind w:firstLine="720"/>
        <w:rPr>
          <w:rFonts w:cs="Times New Roman"/>
          <w:szCs w:val="24"/>
        </w:rPr>
      </w:pPr>
      <w:r>
        <w:rPr>
          <w:rFonts w:cs="Times New Roman"/>
          <w:szCs w:val="24"/>
        </w:rPr>
        <w:tab/>
      </w:r>
      <w:r w:rsidR="00B01EE6" w:rsidRPr="00BE4391">
        <w:rPr>
          <w:rFonts w:cs="Times New Roman"/>
          <w:szCs w:val="24"/>
        </w:rPr>
        <w:t xml:space="preserve">Alberta offers some interesting examples of community based initiatives to raise </w:t>
      </w:r>
      <w:r w:rsidR="00B01EE6" w:rsidRPr="00BE4391">
        <w:rPr>
          <w:rFonts w:cs="Times New Roman"/>
          <w:szCs w:val="24"/>
        </w:rPr>
        <w:lastRenderedPageBreak/>
        <w:t>literacy rates and increase access</w:t>
      </w:r>
      <w:r w:rsidR="00B01EE6" w:rsidRPr="0055435B">
        <w:rPr>
          <w:rFonts w:cs="Times New Roman"/>
          <w:color w:val="1A1A1A"/>
          <w:szCs w:val="24"/>
        </w:rPr>
        <w:t xml:space="preserve"> to post-secondary education. The </w:t>
      </w:r>
      <w:r w:rsidR="00B01EE6" w:rsidRPr="0055435B">
        <w:rPr>
          <w:rFonts w:cs="Times New Roman"/>
          <w:i/>
          <w:color w:val="1A1A1A"/>
          <w:szCs w:val="24"/>
        </w:rPr>
        <w:t>Living Literacy</w:t>
      </w:r>
      <w:r w:rsidR="00B01EE6" w:rsidRPr="0055435B">
        <w:rPr>
          <w:rFonts w:cs="Times New Roman"/>
          <w:color w:val="1A1A1A"/>
          <w:szCs w:val="24"/>
        </w:rPr>
        <w:t xml:space="preserve"> report was released in 2009 and provides a framework for action that coordinates the efforts of the Government of Alberta (Enterprise and Advanced Education, Alberta Education, Alberta Human Services, and others) and its many partners to improve literacy levels for Albertans so they can thrive and contribute to the next generation economy. This report proposed numerous priority actions for the Government of Alberta to undertake between 2009 and 2013 involving community oriented action in order to achieve improved access and literacy across the province. </w:t>
      </w:r>
    </w:p>
    <w:p w14:paraId="5E3408FB" w14:textId="66283237" w:rsidR="00B01EE6" w:rsidRPr="0055435B" w:rsidRDefault="00B01EE6" w:rsidP="00AC47C6">
      <w:pPr>
        <w:widowControl w:val="0"/>
        <w:autoSpaceDE w:val="0"/>
        <w:autoSpaceDN w:val="0"/>
        <w:adjustRightInd w:val="0"/>
        <w:spacing w:line="480" w:lineRule="auto"/>
        <w:ind w:firstLine="720"/>
        <w:rPr>
          <w:rFonts w:cs="Times New Roman"/>
          <w:color w:val="1A1A1A"/>
          <w:szCs w:val="24"/>
        </w:rPr>
      </w:pPr>
      <w:r w:rsidRPr="0055435B">
        <w:rPr>
          <w:rFonts w:cs="Times New Roman"/>
          <w:color w:val="1A1A1A"/>
          <w:szCs w:val="24"/>
        </w:rPr>
        <w:t xml:space="preserve">The </w:t>
      </w:r>
      <w:r w:rsidRPr="0055435B">
        <w:rPr>
          <w:rFonts w:cs="Times New Roman"/>
          <w:i/>
          <w:color w:val="1A1A1A"/>
          <w:szCs w:val="24"/>
        </w:rPr>
        <w:t xml:space="preserve">Increasing Learner Access through System Alignment </w:t>
      </w:r>
      <w:r w:rsidRPr="0055435B">
        <w:rPr>
          <w:rFonts w:cs="Times New Roman"/>
          <w:color w:val="1A1A1A"/>
          <w:szCs w:val="24"/>
        </w:rPr>
        <w:t>report (2010) provided recommendations for action and proposes guidelines related</w:t>
      </w:r>
      <w:r w:rsidR="0060181A">
        <w:rPr>
          <w:rFonts w:cs="Times New Roman"/>
          <w:color w:val="1A1A1A"/>
          <w:szCs w:val="24"/>
        </w:rPr>
        <w:t xml:space="preserve"> to the stewardship role of Comprehensive Community Institutions</w:t>
      </w:r>
      <w:r w:rsidRPr="0055435B">
        <w:rPr>
          <w:rFonts w:cs="Times New Roman"/>
          <w:color w:val="1A1A1A"/>
          <w:szCs w:val="24"/>
        </w:rPr>
        <w:t xml:space="preserve">, the regional access planning process, and further develops of the concept of community learning </w:t>
      </w:r>
      <w:proofErr w:type="spellStart"/>
      <w:r w:rsidRPr="0055435B">
        <w:rPr>
          <w:rFonts w:cs="Times New Roman"/>
          <w:color w:val="1A1A1A"/>
          <w:szCs w:val="24"/>
        </w:rPr>
        <w:t>centres</w:t>
      </w:r>
      <w:proofErr w:type="spellEnd"/>
      <w:r w:rsidRPr="0055435B">
        <w:rPr>
          <w:rFonts w:cs="Times New Roman"/>
          <w:color w:val="1A1A1A"/>
          <w:szCs w:val="24"/>
        </w:rPr>
        <w:t xml:space="preserve">. </w:t>
      </w:r>
    </w:p>
    <w:p w14:paraId="361B7AC2" w14:textId="4AC959C9" w:rsidR="00CB19AA" w:rsidRPr="00AC47C6" w:rsidRDefault="00B01EE6" w:rsidP="007E1F7A">
      <w:pPr>
        <w:widowControl w:val="0"/>
        <w:autoSpaceDE w:val="0"/>
        <w:autoSpaceDN w:val="0"/>
        <w:adjustRightInd w:val="0"/>
        <w:spacing w:after="0" w:line="480" w:lineRule="auto"/>
        <w:ind w:firstLine="720"/>
        <w:rPr>
          <w:rFonts w:cs="Times New Roman"/>
          <w:color w:val="1A1A1A"/>
          <w:szCs w:val="24"/>
        </w:rPr>
      </w:pPr>
      <w:r w:rsidRPr="0055435B">
        <w:rPr>
          <w:rFonts w:cs="Times New Roman"/>
          <w:color w:val="1A1A1A"/>
          <w:szCs w:val="24"/>
        </w:rPr>
        <w:t xml:space="preserve">A Community Adult Learning program provides funding and support for community organizations for the purpose of promoting and facilitating adult learning opportunities. These programs are available in more than 350 communities, with the goal of improving literacy, essential skills, and assisting people in reaching their own learning goals. As of 2011 the program funded four streams, including: $6,041,545 for the base Community Adult Learning Council grant for expenses incurred by organizations conducting adult learning activities; $825,000 the rural innovation and access program grant; the family literacy initiative fund at $2,088,663; as well as the volunteer tutor adult literacy services grant worth $2,492,300 (p. 5). </w:t>
      </w:r>
    </w:p>
    <w:p w14:paraId="2F22528D" w14:textId="77777777" w:rsidR="00B81AFF" w:rsidRPr="00BB0974" w:rsidRDefault="00B81AFF" w:rsidP="00CB19AA">
      <w:pPr>
        <w:spacing w:after="0" w:line="480" w:lineRule="auto"/>
        <w:rPr>
          <w:rFonts w:cs="Times New Roman"/>
          <w:b/>
          <w:szCs w:val="24"/>
        </w:rPr>
      </w:pPr>
      <w:r w:rsidRPr="00BB0974">
        <w:rPr>
          <w:rFonts w:cs="Times New Roman"/>
          <w:b/>
          <w:szCs w:val="24"/>
        </w:rPr>
        <w:t xml:space="preserve">Part III: </w:t>
      </w:r>
      <w:r w:rsidR="00B01EE6" w:rsidRPr="00BB0974">
        <w:rPr>
          <w:rFonts w:cs="Times New Roman"/>
          <w:b/>
          <w:szCs w:val="24"/>
        </w:rPr>
        <w:t>Rethinking system design</w:t>
      </w:r>
      <w:r w:rsidRPr="00BB0974">
        <w:rPr>
          <w:rFonts w:cs="Times New Roman"/>
          <w:b/>
          <w:szCs w:val="24"/>
        </w:rPr>
        <w:t xml:space="preserve">. </w:t>
      </w:r>
    </w:p>
    <w:p w14:paraId="18F88F53" w14:textId="3C6C1D11" w:rsidR="000B104B" w:rsidRDefault="000B104B" w:rsidP="00CB19AA">
      <w:pPr>
        <w:spacing w:after="0" w:line="480" w:lineRule="auto"/>
        <w:rPr>
          <w:rFonts w:cs="Times New Roman"/>
          <w:szCs w:val="24"/>
        </w:rPr>
      </w:pPr>
      <w:r>
        <w:rPr>
          <w:rFonts w:cs="Times New Roman"/>
          <w:szCs w:val="24"/>
        </w:rPr>
        <w:tab/>
        <w:t xml:space="preserve">Governments in a number of Canadian provinces have taken steps to increase access that involve a rethinking of institutional roles and objectives, and of the relationships between institutions and sectors within the broader educational system. Examples include initiatives </w:t>
      </w:r>
      <w:r>
        <w:rPr>
          <w:rFonts w:cs="Times New Roman"/>
          <w:szCs w:val="24"/>
        </w:rPr>
        <w:lastRenderedPageBreak/>
        <w:t>designed to facilitate movement between the school system and the higher education system, facilitate student transfer between institutions, revisiting the roles of institutions (and the creation of hybrid institutional types) and modifying governance and coordination structures.</w:t>
      </w:r>
    </w:p>
    <w:p w14:paraId="162F7801" w14:textId="77777777" w:rsidR="00CB19AA" w:rsidRDefault="00CB19AA" w:rsidP="00CB19AA">
      <w:pPr>
        <w:spacing w:after="0" w:line="480" w:lineRule="auto"/>
        <w:rPr>
          <w:rFonts w:cs="Times New Roman"/>
          <w:szCs w:val="24"/>
        </w:rPr>
      </w:pPr>
    </w:p>
    <w:p w14:paraId="72164E04" w14:textId="6CDD54F8" w:rsidR="000B104B" w:rsidRPr="00D26331" w:rsidRDefault="000B104B" w:rsidP="00CB19AA">
      <w:pPr>
        <w:spacing w:after="0" w:line="480" w:lineRule="auto"/>
        <w:rPr>
          <w:rFonts w:cs="Times New Roman"/>
          <w:i/>
          <w:szCs w:val="24"/>
        </w:rPr>
      </w:pPr>
      <w:r>
        <w:rPr>
          <w:rFonts w:cs="Times New Roman"/>
          <w:i/>
          <w:szCs w:val="24"/>
        </w:rPr>
        <w:t>3.1 From School to Postsecondary Education</w:t>
      </w:r>
    </w:p>
    <w:p w14:paraId="5CBBE4DD" w14:textId="77777777" w:rsidR="000B104B" w:rsidRDefault="000B104B" w:rsidP="00CB19AA">
      <w:pPr>
        <w:spacing w:after="0" w:line="480" w:lineRule="auto"/>
        <w:ind w:firstLine="720"/>
        <w:rPr>
          <w:rFonts w:cs="Times New Roman"/>
          <w:szCs w:val="24"/>
        </w:rPr>
      </w:pPr>
      <w:r>
        <w:rPr>
          <w:rFonts w:cs="Times New Roman"/>
          <w:szCs w:val="24"/>
        </w:rPr>
        <w:t xml:space="preserve">In Canada, the education sectors of K-12 and post-secondary have traditionally been discussed as distinct and separate. In early formation of the Canadian education system, it was assumed that secondary education would be sufficient for the majority of the population, with post-secondary conceptualized as an elite system. However, it is increasingly recognized that post-secondary education is required for entry into many fields of employment. Further, there are connections across the boundaries of these systems that, if supported, could engage students who might otherwise fail to enter into the higher educational system. Policies have begun to appear in Canada to facilitate pathways and a general reframing of the strict boundaries between these two systems of education. </w:t>
      </w:r>
    </w:p>
    <w:p w14:paraId="2F47E467" w14:textId="77777777" w:rsidR="000B104B" w:rsidRDefault="000B104B" w:rsidP="00CB19AA">
      <w:pPr>
        <w:spacing w:after="0" w:line="480" w:lineRule="auto"/>
        <w:ind w:firstLine="720"/>
        <w:rPr>
          <w:rFonts w:cs="Times New Roman"/>
          <w:szCs w:val="24"/>
        </w:rPr>
      </w:pPr>
      <w:r>
        <w:rPr>
          <w:rFonts w:cs="Times New Roman"/>
          <w:szCs w:val="24"/>
        </w:rPr>
        <w:t xml:space="preserve">Canada is a leader in terms of overall access to post-secondary education, with nearly half of Canada’s population (age 24-34) obtaining a certificate, diploma or degree (Kirby &amp; Sharpe, 2011). One method of supporting student success in transitioning from K-12 to post-secondary is to enable students to successfully complete their secondary education and upgrade their grades and coursework. The province of Newfoundland and Labrador introduced high school online course delivery in the 1990s with a limited selection. The system expanded from roughly 200 students in 2001-2 to approximately 900 in 2007-2008. This expansion has primarily supported students from rural schools, according to a recent study by Kirby and Sharpe (2011). High school students who complete their studies online tend toward attending further </w:t>
      </w:r>
      <w:r>
        <w:rPr>
          <w:rFonts w:cs="Times New Roman"/>
          <w:szCs w:val="24"/>
        </w:rPr>
        <w:lastRenderedPageBreak/>
        <w:t xml:space="preserve">post-secondary education, according to Barbour and Reeves (2009), who suggested that these students tend to have higher academic achievement. </w:t>
      </w:r>
    </w:p>
    <w:p w14:paraId="2EC3B74C" w14:textId="38DCD2FE" w:rsidR="000454FF" w:rsidRDefault="000454FF" w:rsidP="00A14D24">
      <w:pPr>
        <w:spacing w:after="0" w:line="480" w:lineRule="auto"/>
        <w:ind w:firstLine="720"/>
        <w:rPr>
          <w:rFonts w:cs="Times New Roman"/>
          <w:szCs w:val="24"/>
        </w:rPr>
      </w:pPr>
      <w:r>
        <w:rPr>
          <w:rFonts w:cs="Times New Roman"/>
          <w:szCs w:val="24"/>
        </w:rPr>
        <w:t>In Ontario, c</w:t>
      </w:r>
      <w:r w:rsidRPr="0055435B">
        <w:rPr>
          <w:rFonts w:cs="Times New Roman"/>
          <w:szCs w:val="24"/>
        </w:rPr>
        <w:t>ollege pre</w:t>
      </w:r>
      <w:r w:rsidR="00CB19AA">
        <w:rPr>
          <w:rFonts w:cs="Times New Roman"/>
          <w:szCs w:val="24"/>
        </w:rPr>
        <w:t xml:space="preserve">paratory programs </w:t>
      </w:r>
      <w:r w:rsidR="00FD6200">
        <w:rPr>
          <w:rFonts w:cs="Times New Roman"/>
          <w:szCs w:val="24"/>
        </w:rPr>
        <w:t>provide</w:t>
      </w:r>
      <w:r w:rsidRPr="0055435B">
        <w:rPr>
          <w:rFonts w:cs="Times New Roman"/>
          <w:szCs w:val="24"/>
        </w:rPr>
        <w:t xml:space="preserve"> students </w:t>
      </w:r>
      <w:r w:rsidR="00FD6200">
        <w:rPr>
          <w:rFonts w:cs="Times New Roman"/>
          <w:szCs w:val="24"/>
        </w:rPr>
        <w:t xml:space="preserve">with </w:t>
      </w:r>
      <w:r w:rsidRPr="0055435B">
        <w:rPr>
          <w:rFonts w:cs="Times New Roman"/>
          <w:szCs w:val="24"/>
        </w:rPr>
        <w:t>an opportunity to upgrade thei</w:t>
      </w:r>
      <w:r w:rsidR="00FD6200">
        <w:rPr>
          <w:rFonts w:cs="Times New Roman"/>
          <w:szCs w:val="24"/>
        </w:rPr>
        <w:t>r academic skills and abilities. These programs are offered within the college sector and are designed to assist individuals who have not completed secondary school or lack other requirements but aspire to enroll in a postsecondary</w:t>
      </w:r>
      <w:r w:rsidRPr="0055435B">
        <w:rPr>
          <w:rFonts w:cs="Times New Roman"/>
          <w:szCs w:val="24"/>
        </w:rPr>
        <w:t xml:space="preserve"> </w:t>
      </w:r>
      <w:r w:rsidR="00FD6200">
        <w:rPr>
          <w:rFonts w:cs="Times New Roman"/>
          <w:szCs w:val="24"/>
        </w:rPr>
        <w:t>program.  Reviews of these government-funded initiatives</w:t>
      </w:r>
      <w:r w:rsidRPr="0055435B">
        <w:rPr>
          <w:rFonts w:cs="Times New Roman"/>
          <w:szCs w:val="24"/>
        </w:rPr>
        <w:t xml:space="preserve"> </w:t>
      </w:r>
      <w:r w:rsidR="00FD6200">
        <w:rPr>
          <w:rFonts w:cs="Times New Roman"/>
          <w:szCs w:val="24"/>
        </w:rPr>
        <w:t xml:space="preserve">have been positive, and have noted that colleges can </w:t>
      </w:r>
      <w:r w:rsidRPr="0055435B">
        <w:rPr>
          <w:rFonts w:cs="Times New Roman"/>
          <w:szCs w:val="24"/>
        </w:rPr>
        <w:t xml:space="preserve">offer a supportive environment for those re-entering the education system following an extended number of years in the </w:t>
      </w:r>
      <w:proofErr w:type="spellStart"/>
      <w:r w:rsidRPr="0055435B">
        <w:rPr>
          <w:rFonts w:cs="Times New Roman"/>
          <w:szCs w:val="24"/>
        </w:rPr>
        <w:t>labour</w:t>
      </w:r>
      <w:proofErr w:type="spellEnd"/>
      <w:r w:rsidRPr="0055435B">
        <w:rPr>
          <w:rFonts w:cs="Times New Roman"/>
          <w:szCs w:val="24"/>
        </w:rPr>
        <w:t xml:space="preserve"> market (Gorman, Tiu, &amp; Cook, 2013).</w:t>
      </w:r>
    </w:p>
    <w:p w14:paraId="275BA32E" w14:textId="27FF527B" w:rsidR="00D26331" w:rsidRPr="00D26331" w:rsidRDefault="00A14D24" w:rsidP="00A14D24">
      <w:pPr>
        <w:spacing w:after="0" w:line="480" w:lineRule="auto"/>
        <w:rPr>
          <w:rFonts w:cs="Times New Roman"/>
          <w:i/>
          <w:szCs w:val="24"/>
        </w:rPr>
      </w:pPr>
      <w:r>
        <w:rPr>
          <w:rFonts w:cs="Times New Roman"/>
          <w:i/>
          <w:szCs w:val="24"/>
        </w:rPr>
        <w:t xml:space="preserve">3.2 </w:t>
      </w:r>
      <w:r w:rsidR="00D26331" w:rsidRPr="00D26331">
        <w:rPr>
          <w:rFonts w:cs="Times New Roman"/>
          <w:i/>
          <w:szCs w:val="24"/>
        </w:rPr>
        <w:t xml:space="preserve">Transfer </w:t>
      </w:r>
    </w:p>
    <w:p w14:paraId="1A698B3C" w14:textId="7D2BE222" w:rsidR="009F3298" w:rsidRDefault="00B01EE6" w:rsidP="00A14D24">
      <w:pPr>
        <w:spacing w:after="0" w:line="480" w:lineRule="auto"/>
        <w:ind w:firstLine="720"/>
        <w:rPr>
          <w:rFonts w:cs="Times New Roman"/>
          <w:szCs w:val="24"/>
        </w:rPr>
      </w:pPr>
      <w:r w:rsidRPr="0055435B">
        <w:rPr>
          <w:rFonts w:cs="Times New Roman"/>
          <w:szCs w:val="24"/>
        </w:rPr>
        <w:t xml:space="preserve">Many provinces in Canada, particularly British Columbia and Alberta, have long recognized the value of transfer systems to enable students to access educational pathways from numerous directions. </w:t>
      </w:r>
      <w:r w:rsidR="000454FF">
        <w:rPr>
          <w:rFonts w:cs="Times New Roman"/>
          <w:szCs w:val="24"/>
        </w:rPr>
        <w:t xml:space="preserve">Both provinces have a council on admissions and transfer, and each council facilitates transfer arrangements between institutions on a system-level basis, publishes information on transfer so that students will know how a course offered by one institution will be </w:t>
      </w:r>
      <w:r w:rsidR="00CB19AA">
        <w:rPr>
          <w:rFonts w:cs="Times New Roman"/>
          <w:szCs w:val="24"/>
        </w:rPr>
        <w:t>treated by others, and conducts</w:t>
      </w:r>
      <w:r w:rsidR="000454FF">
        <w:rPr>
          <w:rFonts w:cs="Times New Roman"/>
          <w:szCs w:val="24"/>
        </w:rPr>
        <w:t xml:space="preserve"> ongoing research on student mobility and success</w:t>
      </w:r>
      <w:r w:rsidR="00CB19AA">
        <w:rPr>
          <w:rFonts w:cs="Times New Roman"/>
          <w:szCs w:val="24"/>
        </w:rPr>
        <w:t xml:space="preserve"> (Jones, 2009)</w:t>
      </w:r>
      <w:r w:rsidR="000454FF">
        <w:rPr>
          <w:rFonts w:cs="Times New Roman"/>
          <w:szCs w:val="24"/>
        </w:rPr>
        <w:t xml:space="preserve">. </w:t>
      </w:r>
    </w:p>
    <w:p w14:paraId="7C25D2A1" w14:textId="61B88741" w:rsidR="00EC5223" w:rsidRPr="0055435B" w:rsidRDefault="00EC5223" w:rsidP="00A14D24">
      <w:pPr>
        <w:spacing w:after="0" w:line="480" w:lineRule="auto"/>
        <w:ind w:firstLine="720"/>
        <w:rPr>
          <w:rFonts w:cs="Times New Roman"/>
          <w:szCs w:val="24"/>
        </w:rPr>
      </w:pPr>
      <w:r>
        <w:rPr>
          <w:rFonts w:cs="Times New Roman"/>
          <w:szCs w:val="24"/>
        </w:rPr>
        <w:t xml:space="preserve">The transfer system in </w:t>
      </w:r>
      <w:r w:rsidR="00FC6559">
        <w:rPr>
          <w:rFonts w:cs="Times New Roman"/>
          <w:szCs w:val="24"/>
        </w:rPr>
        <w:t xml:space="preserve">Alberta was formally established in 1974 as an independent body by the title of the Alberta Council on Admissions and Transfer (ACAT) (2009). ACAT is responsible for developing and implementing policies, procedures and guidelines that facilitate agreements between post-secondary institutions in order to formalize the process of transfer. In the 2007 report on the ACAT system, public consultations revealed that the system was providing opportunities for students who might otherwise not have the ability to transfer into </w:t>
      </w:r>
      <w:r w:rsidR="00FC6559">
        <w:rPr>
          <w:rFonts w:cs="Times New Roman"/>
          <w:szCs w:val="24"/>
        </w:rPr>
        <w:lastRenderedPageBreak/>
        <w:t xml:space="preserve">programs to better suit their needs. ACAT was found to allow “for greater student choice and mobility between institutions” (2007, p. 2). </w:t>
      </w:r>
    </w:p>
    <w:p w14:paraId="1C09B0BA" w14:textId="77777777" w:rsidR="00EC5223" w:rsidRDefault="009F3298" w:rsidP="00E52650">
      <w:pPr>
        <w:spacing w:after="0" w:line="480" w:lineRule="auto"/>
        <w:ind w:firstLine="720"/>
        <w:rPr>
          <w:rFonts w:cs="Times New Roman"/>
          <w:szCs w:val="24"/>
        </w:rPr>
      </w:pPr>
      <w:r w:rsidRPr="0055435B">
        <w:rPr>
          <w:rFonts w:cs="Times New Roman"/>
          <w:szCs w:val="24"/>
        </w:rPr>
        <w:t xml:space="preserve">Ontario began to implement policies to move the province toward creating more transfer opportunities by creating the College University Consortium Council (CUCC) in 1996. This council was established to facilitate and coordinate education ventures by the colleges and universities in Ontario. </w:t>
      </w:r>
      <w:r w:rsidR="006425C5" w:rsidRPr="0055435B">
        <w:rPr>
          <w:rFonts w:cs="Times New Roman"/>
          <w:szCs w:val="24"/>
        </w:rPr>
        <w:t xml:space="preserve">The CUCC established an Ontario College University Transfer Guide (OCUTG) which was designed in order to guide students in accessing and understanding learning pathways, transfer agreements, and mobility opportunities for transfer between institutions. </w:t>
      </w:r>
      <w:r w:rsidRPr="0055435B">
        <w:rPr>
          <w:rFonts w:cs="Times New Roman"/>
          <w:szCs w:val="24"/>
        </w:rPr>
        <w:t xml:space="preserve">Though somewhat successful in this regard, the council operated as a facilitative body rather than one of authority and therefore the transfer initiatives were developed primarily at the college and university level. </w:t>
      </w:r>
    </w:p>
    <w:p w14:paraId="51A6D82C" w14:textId="3ACD96FA" w:rsidR="00B01EE6" w:rsidRDefault="00B01EE6" w:rsidP="00E52650">
      <w:pPr>
        <w:spacing w:after="0" w:line="480" w:lineRule="auto"/>
        <w:ind w:firstLine="720"/>
        <w:rPr>
          <w:rFonts w:cs="Times New Roman"/>
          <w:szCs w:val="24"/>
        </w:rPr>
      </w:pPr>
      <w:r w:rsidRPr="0055435B">
        <w:rPr>
          <w:rFonts w:cs="Times New Roman"/>
          <w:szCs w:val="24"/>
        </w:rPr>
        <w:t>The Ontario Council on Articulation and Transfer (ONCAT), established i</w:t>
      </w:r>
      <w:r w:rsidR="009F3298" w:rsidRPr="0055435B">
        <w:rPr>
          <w:rFonts w:cs="Times New Roman"/>
          <w:szCs w:val="24"/>
        </w:rPr>
        <w:t xml:space="preserve">n 2011, provides information regarding transfer opportunities in Ontario. </w:t>
      </w:r>
      <w:r w:rsidR="006425C5" w:rsidRPr="0055435B">
        <w:rPr>
          <w:rFonts w:cs="Times New Roman"/>
          <w:szCs w:val="24"/>
        </w:rPr>
        <w:t xml:space="preserve">ONCAT was established with an “enhanced leadership, research and communications mandate, including the </w:t>
      </w:r>
      <w:r w:rsidR="006425C5" w:rsidRPr="0055435B">
        <w:rPr>
          <w:rFonts w:cs="Times New Roman"/>
          <w:i/>
          <w:szCs w:val="24"/>
        </w:rPr>
        <w:t>responsibility to develop and maintain a new transfer portal and a more robust online transfer guide</w:t>
      </w:r>
      <w:r w:rsidR="006425C5" w:rsidRPr="0055435B">
        <w:rPr>
          <w:rFonts w:cs="Times New Roman"/>
          <w:szCs w:val="24"/>
        </w:rPr>
        <w:t xml:space="preserve">” (ONCAT, 2013, n/p). </w:t>
      </w:r>
      <w:r w:rsidRPr="0055435B">
        <w:rPr>
          <w:rFonts w:cs="Times New Roman"/>
          <w:szCs w:val="24"/>
        </w:rPr>
        <w:t>The purpose of ONCAT is to facilitate academic collaboration as well as support transfer pathways among Ontario's publicly funded colleges and universities, lowering the barriers for postsecondary options for students wanting to continue their education (</w:t>
      </w:r>
      <w:r w:rsidR="006425C5" w:rsidRPr="0055435B">
        <w:rPr>
          <w:rFonts w:cs="Times New Roman"/>
          <w:szCs w:val="24"/>
        </w:rPr>
        <w:t xml:space="preserve">ONCAT, 2013). </w:t>
      </w:r>
    </w:p>
    <w:p w14:paraId="0F678197" w14:textId="55492592" w:rsidR="00D26331" w:rsidRPr="00A14D24" w:rsidRDefault="00A14D24" w:rsidP="00E52650">
      <w:pPr>
        <w:spacing w:after="0" w:line="480" w:lineRule="auto"/>
        <w:rPr>
          <w:rFonts w:cs="Times New Roman"/>
          <w:i/>
          <w:szCs w:val="24"/>
        </w:rPr>
      </w:pPr>
      <w:r w:rsidRPr="00A14D24">
        <w:rPr>
          <w:rFonts w:cs="Times New Roman"/>
          <w:i/>
          <w:szCs w:val="24"/>
        </w:rPr>
        <w:t>3.3 Revisiting the Roles of Institutions</w:t>
      </w:r>
    </w:p>
    <w:p w14:paraId="77CED833" w14:textId="7CB1CC54" w:rsidR="00A14D24" w:rsidRDefault="00A14D24" w:rsidP="00E52650">
      <w:pPr>
        <w:spacing w:after="0" w:line="480" w:lineRule="auto"/>
        <w:rPr>
          <w:rFonts w:cs="Times New Roman"/>
          <w:szCs w:val="24"/>
        </w:rPr>
      </w:pPr>
      <w:r>
        <w:rPr>
          <w:rFonts w:cs="Times New Roman"/>
          <w:szCs w:val="24"/>
        </w:rPr>
        <w:tab/>
        <w:t xml:space="preserve">A number of provincial governments have taken steps to increase access to degrees by expanding the range of institutions with the legal authority to award degrees within the postsecondary system, and these changes have frequently blurred the boundaries between the </w:t>
      </w:r>
      <w:r>
        <w:rPr>
          <w:rFonts w:cs="Times New Roman"/>
          <w:szCs w:val="24"/>
        </w:rPr>
        <w:lastRenderedPageBreak/>
        <w:t>community college and university sectors and allowed for the creation of hybrid institutional types (Jones, 2009).  At one point the community college sector in every province was in some respects defined by its status as providing sub-degree programs; none of the colleges were assigned the authority to grant university-level degrees, though in some provinces they provided university-transfer or pre-university programs, and in all provinces they provided diplomas and certificates associated with vocational programs.</w:t>
      </w:r>
      <w:r w:rsidR="002228BC">
        <w:rPr>
          <w:rFonts w:cs="Times New Roman"/>
          <w:szCs w:val="24"/>
        </w:rPr>
        <w:t xml:space="preserve"> Some provinces have modified the roles of the colleges in order to increase access to degrees to a broader population, a strategy that builds on the reality that the colleges have generally provided greater access to students from under-represented populations than the universities.</w:t>
      </w:r>
    </w:p>
    <w:p w14:paraId="01678DA6" w14:textId="244BEF9A" w:rsidR="002228BC" w:rsidRDefault="002228BC" w:rsidP="00E52650">
      <w:pPr>
        <w:spacing w:after="0" w:line="480" w:lineRule="auto"/>
        <w:rPr>
          <w:rFonts w:cs="Times New Roman"/>
          <w:szCs w:val="24"/>
        </w:rPr>
      </w:pPr>
      <w:r>
        <w:rPr>
          <w:rFonts w:cs="Times New Roman"/>
          <w:szCs w:val="24"/>
        </w:rPr>
        <w:tab/>
        <w:t>Five provinces (British Columbia, Alberta, Manitoba, Ontario and Prince Edward Island) and one territory (Yukon) now provide at least some limited authority to grant degrees to the community college sector. British Columbia and Alberta have taken additional steps to transition colleges into new institutional forms; British Columbia shifted several community colleges into “university colleges” (institutions with the ability to offer university degree programs while retaining their previous role in the provision of technical/vocational programs) in the 1990s, and more recently recast these institutions as teaching-intensive universities, while Alberta has transformed two community colleges into universities with special undergraduate teaching missions.</w:t>
      </w:r>
    </w:p>
    <w:p w14:paraId="1DACD207" w14:textId="3AE3E761" w:rsidR="00045D8E" w:rsidRDefault="002228BC" w:rsidP="00E52650">
      <w:pPr>
        <w:spacing w:after="0" w:line="480" w:lineRule="auto"/>
        <w:rPr>
          <w:rFonts w:cs="Times New Roman"/>
          <w:szCs w:val="24"/>
        </w:rPr>
      </w:pPr>
      <w:r>
        <w:rPr>
          <w:rFonts w:cs="Times New Roman"/>
          <w:szCs w:val="24"/>
        </w:rPr>
        <w:tab/>
        <w:t xml:space="preserve">Other initiatives have involved the creation of hybrid institutional forms. First Nations University in Saskatchewan has a special mission to address the needs of the province’s Aboriginal peoples. The University College of the North in Manitoba plays a similar role by providing geographic access to postsecondary populations in the province’s northern region. In Ontario, some new initiatives have linked colleges and universities in order to draw on the </w:t>
      </w:r>
      <w:r>
        <w:rPr>
          <w:rFonts w:cs="Times New Roman"/>
          <w:szCs w:val="24"/>
        </w:rPr>
        <w:lastRenderedPageBreak/>
        <w:t xml:space="preserve">strengths of both sectors, such as </w:t>
      </w:r>
      <w:r w:rsidR="00E52650">
        <w:rPr>
          <w:rFonts w:cs="Times New Roman"/>
          <w:szCs w:val="24"/>
        </w:rPr>
        <w:t>the University of Guelph at Humber and Seneca at York University (Jones, 2009).</w:t>
      </w:r>
    </w:p>
    <w:p w14:paraId="032EB73E" w14:textId="77777777" w:rsidR="00D437A1" w:rsidRPr="0055435B" w:rsidRDefault="00D437A1" w:rsidP="00E52650">
      <w:pPr>
        <w:spacing w:after="0" w:line="480" w:lineRule="auto"/>
        <w:rPr>
          <w:rFonts w:cs="Times New Roman"/>
          <w:szCs w:val="24"/>
        </w:rPr>
      </w:pPr>
    </w:p>
    <w:p w14:paraId="5F392682" w14:textId="309E33C9" w:rsidR="00C54787" w:rsidRPr="0055435B" w:rsidRDefault="00B81AFF" w:rsidP="0055435B">
      <w:pPr>
        <w:spacing w:line="360" w:lineRule="auto"/>
        <w:rPr>
          <w:rFonts w:cs="Times New Roman"/>
          <w:szCs w:val="24"/>
        </w:rPr>
      </w:pPr>
      <w:r w:rsidRPr="0055435B">
        <w:rPr>
          <w:rFonts w:cs="Times New Roman"/>
          <w:i/>
          <w:szCs w:val="24"/>
        </w:rPr>
        <w:t xml:space="preserve">Part IV: </w:t>
      </w:r>
      <w:r w:rsidR="00B01EE6" w:rsidRPr="0055435B">
        <w:rPr>
          <w:rFonts w:cs="Times New Roman"/>
          <w:i/>
          <w:szCs w:val="24"/>
        </w:rPr>
        <w:t>Measuring success</w:t>
      </w:r>
      <w:r w:rsidRPr="0055435B">
        <w:rPr>
          <w:rFonts w:cs="Times New Roman"/>
          <w:i/>
          <w:szCs w:val="24"/>
        </w:rPr>
        <w:t xml:space="preserve">. </w:t>
      </w:r>
    </w:p>
    <w:p w14:paraId="67CF8A02" w14:textId="2B946071" w:rsidR="00B01EE6" w:rsidRPr="0055435B" w:rsidRDefault="00E52650" w:rsidP="00221C87">
      <w:pPr>
        <w:spacing w:line="480" w:lineRule="auto"/>
        <w:rPr>
          <w:rFonts w:cs="Times New Roman"/>
          <w:szCs w:val="24"/>
        </w:rPr>
      </w:pPr>
      <w:r>
        <w:rPr>
          <w:rFonts w:cs="Times New Roman"/>
          <w:szCs w:val="24"/>
        </w:rPr>
        <w:t xml:space="preserve">As in all other areas of public policy, measurement and evaluation become important tools in determining whether policy initiatives are leading to desired outcomes. </w:t>
      </w:r>
      <w:r w:rsidR="00C54787" w:rsidRPr="0055435B">
        <w:rPr>
          <w:rFonts w:cs="Times New Roman"/>
          <w:szCs w:val="24"/>
        </w:rPr>
        <w:t>This section includes a discussion of</w:t>
      </w:r>
      <w:r w:rsidR="00B01EE6" w:rsidRPr="0055435B">
        <w:rPr>
          <w:rFonts w:cs="Times New Roman"/>
          <w:szCs w:val="24"/>
        </w:rPr>
        <w:t xml:space="preserve"> the clarification of objectives of access policies, and the role of data systems and policy research in monitoring and evaluating system outcomes.</w:t>
      </w:r>
    </w:p>
    <w:p w14:paraId="0EAE1E13" w14:textId="223AA4C6" w:rsidR="00B01EE6" w:rsidRPr="0055435B" w:rsidRDefault="00B01EE6" w:rsidP="00221C87">
      <w:pPr>
        <w:spacing w:line="480" w:lineRule="auto"/>
        <w:ind w:firstLine="720"/>
        <w:rPr>
          <w:rFonts w:cs="Times New Roman"/>
          <w:szCs w:val="24"/>
        </w:rPr>
      </w:pPr>
      <w:r w:rsidRPr="0055435B">
        <w:rPr>
          <w:rFonts w:cs="Times New Roman"/>
          <w:szCs w:val="24"/>
        </w:rPr>
        <w:t>One may assume a straightforward conclusion that success can be measured in terms of increased numbers of students in post-secondary programs. However, given part of the objective of increasing access is not just for general students but for specific subpopulations, there is a more specific measure of this success. This does not, however, take into account the real is</w:t>
      </w:r>
      <w:r w:rsidR="00304636">
        <w:rPr>
          <w:rFonts w:cs="Times New Roman"/>
          <w:szCs w:val="24"/>
        </w:rPr>
        <w:t>sues surrounding access to post</w:t>
      </w:r>
      <w:r w:rsidRPr="0055435B">
        <w:rPr>
          <w:rFonts w:cs="Times New Roman"/>
          <w:szCs w:val="24"/>
        </w:rPr>
        <w:t xml:space="preserve">secondary education for underrepresented subpopulations. Access is necessarily a precursive step to the issue of retention and increased graduation rates for these subpopulations. An OECD report on this issue presented that “the growing portion of disadvantaged students enrolled in tertiary education makes the ongoing issue of their retention and </w:t>
      </w:r>
      <w:proofErr w:type="spellStart"/>
      <w:r w:rsidRPr="0055435B">
        <w:rPr>
          <w:rFonts w:cs="Times New Roman"/>
          <w:szCs w:val="24"/>
        </w:rPr>
        <w:t>programme</w:t>
      </w:r>
      <w:proofErr w:type="spellEnd"/>
      <w:r w:rsidRPr="0055435B">
        <w:rPr>
          <w:rFonts w:cs="Times New Roman"/>
          <w:szCs w:val="24"/>
        </w:rPr>
        <w:t xml:space="preserve"> completion an increasing important concern in tertiary education” (Santiago et al., 2008, p. 50).</w:t>
      </w:r>
    </w:p>
    <w:p w14:paraId="48C465A4" w14:textId="77777777" w:rsidR="00B01EE6" w:rsidRDefault="00B01EE6" w:rsidP="00221C87">
      <w:pPr>
        <w:spacing w:line="480" w:lineRule="auto"/>
        <w:ind w:firstLine="720"/>
        <w:rPr>
          <w:rFonts w:cs="Times New Roman"/>
          <w:szCs w:val="24"/>
        </w:rPr>
      </w:pPr>
      <w:r w:rsidRPr="0055435B">
        <w:rPr>
          <w:rFonts w:cs="Times New Roman"/>
          <w:szCs w:val="24"/>
        </w:rPr>
        <w:t xml:space="preserve">The objectives of access policies cannot stop at the entrance to post-secondary. Rather, the accountability of institutions in retaining and supporting these students, many of whom represent high-risk for failure to complete the program. For a variety of reasons, these high risk groups need to be considered and supported throughout their academic careers if ‘access’ is to make any kind of meaningful difference. These types of students not only face greater barriers to </w:t>
      </w:r>
      <w:r w:rsidRPr="0055435B">
        <w:rPr>
          <w:rFonts w:cs="Times New Roman"/>
          <w:szCs w:val="24"/>
        </w:rPr>
        <w:lastRenderedPageBreak/>
        <w:t xml:space="preserve">access but potentially are also more likely, for academic, financial or cultural reasons, to abandon their studies before graduation. </w:t>
      </w:r>
    </w:p>
    <w:p w14:paraId="317C1AE6" w14:textId="21BEEE58" w:rsidR="00B01EE6" w:rsidRDefault="00E52650" w:rsidP="00221C87">
      <w:pPr>
        <w:spacing w:line="480" w:lineRule="auto"/>
        <w:ind w:firstLine="720"/>
        <w:rPr>
          <w:rFonts w:cs="Times New Roman"/>
          <w:szCs w:val="24"/>
        </w:rPr>
      </w:pPr>
      <w:r>
        <w:rPr>
          <w:rFonts w:cs="Times New Roman"/>
          <w:szCs w:val="24"/>
        </w:rPr>
        <w:t xml:space="preserve">While several provincial governments have established broad goals for increasing participation in higher education, few have developed clear goals related to the participation of under-represented groups, or more nuanced forms of access related to completion and student succeed. </w:t>
      </w:r>
      <w:r w:rsidR="00F1614E">
        <w:rPr>
          <w:rFonts w:cs="Times New Roman"/>
          <w:szCs w:val="24"/>
        </w:rPr>
        <w:t>For example, there has been little clarity related to either the definitions or goals for student retention and persistence, and the complexity of these issues have been highlighted several studies using the Youth i</w:t>
      </w:r>
      <w:r w:rsidR="00796108">
        <w:rPr>
          <w:rFonts w:cs="Times New Roman"/>
          <w:szCs w:val="24"/>
        </w:rPr>
        <w:t>n Transition Survey</w:t>
      </w:r>
      <w:r w:rsidR="00F1614E">
        <w:rPr>
          <w:rFonts w:cs="Times New Roman"/>
          <w:szCs w:val="24"/>
        </w:rPr>
        <w:t xml:space="preserve"> (YITS) data</w:t>
      </w:r>
      <w:r w:rsidR="00B01EE6" w:rsidRPr="0055435B">
        <w:rPr>
          <w:rFonts w:cs="Times New Roman"/>
          <w:szCs w:val="24"/>
        </w:rPr>
        <w:t xml:space="preserve"> (</w:t>
      </w:r>
      <w:proofErr w:type="spellStart"/>
      <w:r w:rsidR="00B01EE6" w:rsidRPr="0055435B">
        <w:rPr>
          <w:rFonts w:cs="Times New Roman"/>
          <w:szCs w:val="24"/>
        </w:rPr>
        <w:t>Martinello</w:t>
      </w:r>
      <w:proofErr w:type="spellEnd"/>
      <w:r w:rsidR="00B01EE6" w:rsidRPr="0055435B">
        <w:rPr>
          <w:rFonts w:cs="Times New Roman"/>
          <w:szCs w:val="24"/>
        </w:rPr>
        <w:t>, 2007;</w:t>
      </w:r>
      <w:r w:rsidR="00F1614E">
        <w:rPr>
          <w:rFonts w:cs="Times New Roman"/>
          <w:szCs w:val="24"/>
        </w:rPr>
        <w:t xml:space="preserve"> Finnie and Qiu, 2008). R</w:t>
      </w:r>
      <w:r w:rsidR="00B01EE6" w:rsidRPr="0055435B">
        <w:rPr>
          <w:rFonts w:cs="Times New Roman"/>
          <w:szCs w:val="24"/>
        </w:rPr>
        <w:t xml:space="preserve">etention and persistence are complicated issues, with many students changing programs or taking breaks from their programs for extended periods. For the general population, as </w:t>
      </w:r>
      <w:proofErr w:type="spellStart"/>
      <w:r w:rsidR="00B01EE6" w:rsidRPr="0055435B">
        <w:rPr>
          <w:rFonts w:cs="Times New Roman"/>
          <w:szCs w:val="24"/>
        </w:rPr>
        <w:t>Martinello</w:t>
      </w:r>
      <w:proofErr w:type="spellEnd"/>
      <w:r w:rsidR="00B01EE6" w:rsidRPr="0055435B">
        <w:rPr>
          <w:rFonts w:cs="Times New Roman"/>
          <w:szCs w:val="24"/>
        </w:rPr>
        <w:t xml:space="preserve"> noted, “only 21.7 percent of students who did not complete their first university program ended their post-secondary education” (2007, p. 13, 16). This is comparable college students who reach roughly 35 percent. Further, </w:t>
      </w:r>
      <w:proofErr w:type="spellStart"/>
      <w:r w:rsidR="00B01EE6" w:rsidRPr="0055435B">
        <w:rPr>
          <w:rFonts w:cs="Times New Roman"/>
          <w:szCs w:val="24"/>
        </w:rPr>
        <w:t>Shaienks</w:t>
      </w:r>
      <w:proofErr w:type="spellEnd"/>
      <w:r w:rsidR="00B01EE6" w:rsidRPr="0055435B">
        <w:rPr>
          <w:rFonts w:cs="Times New Roman"/>
          <w:szCs w:val="24"/>
        </w:rPr>
        <w:t xml:space="preserve">, </w:t>
      </w:r>
      <w:proofErr w:type="spellStart"/>
      <w:r w:rsidR="00B01EE6" w:rsidRPr="0055435B">
        <w:rPr>
          <w:rFonts w:cs="Times New Roman"/>
          <w:szCs w:val="24"/>
        </w:rPr>
        <w:t>Eisl-Culkin</w:t>
      </w:r>
      <w:proofErr w:type="spellEnd"/>
      <w:r w:rsidR="00B01EE6" w:rsidRPr="0055435B">
        <w:rPr>
          <w:rFonts w:cs="Times New Roman"/>
          <w:szCs w:val="24"/>
        </w:rPr>
        <w:t xml:space="preserve"> and </w:t>
      </w:r>
      <w:proofErr w:type="spellStart"/>
      <w:r w:rsidR="00B01EE6" w:rsidRPr="0055435B">
        <w:rPr>
          <w:rFonts w:cs="Times New Roman"/>
          <w:szCs w:val="24"/>
        </w:rPr>
        <w:t>Bussière</w:t>
      </w:r>
      <w:proofErr w:type="spellEnd"/>
      <w:r w:rsidR="00B01EE6" w:rsidRPr="0055435B">
        <w:rPr>
          <w:rFonts w:cs="Times New Roman"/>
          <w:szCs w:val="24"/>
        </w:rPr>
        <w:t xml:space="preserve"> (2006) report that of those who had dropped out relatively early in their studies, particularly by 20 years of age, roughly 35 percent returned within two years with a full 46 percent returning within four years. Similarly, Finnie and Qiu find that “by one year after first having left school, 22.3 percent of college leavers and 35.6 percent of university leavers have returned. By three years later… the returns stand at 40.3 percent and 54.0 percent, respectively, for college and university leavers. These are substantial numbers” (2008, p. 29).</w:t>
      </w:r>
    </w:p>
    <w:p w14:paraId="6BD876D4" w14:textId="031ADC56" w:rsidR="00F1614E" w:rsidRDefault="00F1614E" w:rsidP="00221C87">
      <w:pPr>
        <w:spacing w:line="480" w:lineRule="auto"/>
        <w:ind w:firstLine="720"/>
        <w:rPr>
          <w:rFonts w:cs="Times New Roman"/>
          <w:szCs w:val="24"/>
        </w:rPr>
      </w:pPr>
      <w:r>
        <w:rPr>
          <w:rFonts w:cs="Times New Roman"/>
          <w:szCs w:val="24"/>
        </w:rPr>
        <w:t xml:space="preserve">One of the basic challenges associated with measuring success is studying students through the life-course of their educational experience, especially given that students move from institution to institution and program to program. The province of British Columbia has now </w:t>
      </w:r>
      <w:r>
        <w:rPr>
          <w:rFonts w:cs="Times New Roman"/>
          <w:szCs w:val="24"/>
        </w:rPr>
        <w:lastRenderedPageBreak/>
        <w:t>created a provincial education number that will facilitate longitudinal tracking studies, and Ontario is in the process of adopting a quite similar approach.</w:t>
      </w:r>
    </w:p>
    <w:p w14:paraId="0120A6A0" w14:textId="3CC542FC" w:rsidR="00B01EE6" w:rsidRPr="0055435B" w:rsidRDefault="00F1614E" w:rsidP="00221C87">
      <w:pPr>
        <w:spacing w:line="480" w:lineRule="auto"/>
        <w:ind w:firstLine="720"/>
        <w:rPr>
          <w:rFonts w:cs="Times New Roman"/>
          <w:szCs w:val="24"/>
        </w:rPr>
      </w:pPr>
      <w:r>
        <w:rPr>
          <w:rFonts w:cs="Times New Roman"/>
          <w:szCs w:val="24"/>
        </w:rPr>
        <w:t>However, perhaps the greatest challenge for the measurement and analysis of success within higher education in Canada has been the overall decline of Canada’s national data and research systems related to postsecondary education. Federal budget cuts over more than a decade have forced Statistics Canada and other relevant units to rationalize their data collection and dissemination</w:t>
      </w:r>
      <w:r w:rsidR="00796108">
        <w:rPr>
          <w:rFonts w:cs="Times New Roman"/>
          <w:szCs w:val="24"/>
        </w:rPr>
        <w:t xml:space="preserve"> portfolios. For example, there have been serious problems with the reporting of community college enrolments. Some data systems, such as the collection of data on university faculty, and the Youth In Transition Survey discussed above, have been discontinued. National bodies that have played important roles in the analysis of access issues, such as the Canadian Millennium Scholarship Foundation and the Canadian Council on Learning have been terminated or unfunded</w:t>
      </w:r>
      <w:r w:rsidR="00C66791">
        <w:rPr>
          <w:rFonts w:cs="Times New Roman"/>
          <w:szCs w:val="24"/>
        </w:rPr>
        <w:t xml:space="preserve"> (Jones, 2012</w:t>
      </w:r>
      <w:r w:rsidR="00796108">
        <w:rPr>
          <w:rFonts w:cs="Times New Roman"/>
          <w:szCs w:val="24"/>
        </w:rPr>
        <w:t>).</w:t>
      </w:r>
      <w:r w:rsidR="00C66791">
        <w:rPr>
          <w:rFonts w:cs="Times New Roman"/>
          <w:szCs w:val="24"/>
        </w:rPr>
        <w:t xml:space="preserve">  The declining state of Canada’s national data and research capacity related to the higher education sector signals a serious problem for increasing access to higher education since Canada is missing a number of core tools related to the ability of the federal and provincial governments to monitor and measure success of government initiatives designed to increase access.</w:t>
      </w:r>
    </w:p>
    <w:p w14:paraId="5CA4FD06" w14:textId="53CD7D4A" w:rsidR="00B01EE6" w:rsidRPr="00C66791" w:rsidRDefault="00536661" w:rsidP="00221C87">
      <w:pPr>
        <w:widowControl w:val="0"/>
        <w:autoSpaceDE w:val="0"/>
        <w:autoSpaceDN w:val="0"/>
        <w:adjustRightInd w:val="0"/>
        <w:spacing w:line="480" w:lineRule="auto"/>
        <w:rPr>
          <w:rFonts w:cs="Times New Roman"/>
          <w:b/>
          <w:szCs w:val="24"/>
        </w:rPr>
      </w:pPr>
      <w:r w:rsidRPr="00C66791">
        <w:rPr>
          <w:rFonts w:cs="Times New Roman"/>
          <w:b/>
          <w:szCs w:val="24"/>
        </w:rPr>
        <w:t xml:space="preserve">Conclusions </w:t>
      </w:r>
    </w:p>
    <w:p w14:paraId="1DFED210" w14:textId="42A04AD0" w:rsidR="00536661" w:rsidRDefault="00C66791" w:rsidP="00221C87">
      <w:pPr>
        <w:widowControl w:val="0"/>
        <w:autoSpaceDE w:val="0"/>
        <w:autoSpaceDN w:val="0"/>
        <w:adjustRightInd w:val="0"/>
        <w:spacing w:line="480" w:lineRule="auto"/>
        <w:rPr>
          <w:rFonts w:cs="Times New Roman"/>
          <w:szCs w:val="24"/>
        </w:rPr>
      </w:pPr>
      <w:r>
        <w:rPr>
          <w:rFonts w:cs="Times New Roman"/>
          <w:szCs w:val="24"/>
        </w:rPr>
        <w:tab/>
        <w:t>The objective of this paper was to provide an inventory and macro-level analysis of the various tools and strategies available to government in order to increase access to higher education. Drawing from the Canadian experience, we have noted a wide range of funding mechanisms, community-based initiatives, and system-level reforms that are or have been u</w:t>
      </w:r>
      <w:r w:rsidR="00221C87">
        <w:rPr>
          <w:rFonts w:cs="Times New Roman"/>
          <w:szCs w:val="24"/>
        </w:rPr>
        <w:t xml:space="preserve">sed to support increased access, as well as highlighting findings from recent research and </w:t>
      </w:r>
      <w:r w:rsidR="00221C87">
        <w:rPr>
          <w:rFonts w:cs="Times New Roman"/>
          <w:szCs w:val="24"/>
        </w:rPr>
        <w:lastRenderedPageBreak/>
        <w:t>government reports.</w:t>
      </w:r>
    </w:p>
    <w:p w14:paraId="1929C81B" w14:textId="47E988E8" w:rsidR="00C66791" w:rsidRDefault="00C66791" w:rsidP="00221C87">
      <w:pPr>
        <w:widowControl w:val="0"/>
        <w:autoSpaceDE w:val="0"/>
        <w:autoSpaceDN w:val="0"/>
        <w:adjustRightInd w:val="0"/>
        <w:spacing w:line="480" w:lineRule="auto"/>
        <w:rPr>
          <w:rFonts w:cs="Times New Roman"/>
          <w:szCs w:val="24"/>
        </w:rPr>
      </w:pPr>
      <w:r>
        <w:rPr>
          <w:rFonts w:cs="Times New Roman"/>
          <w:szCs w:val="24"/>
        </w:rPr>
        <w:tab/>
        <w:t>A central theme emerging from the review is that there is no single “best” approa</w:t>
      </w:r>
      <w:r w:rsidR="00AF0110">
        <w:rPr>
          <w:rFonts w:cs="Times New Roman"/>
          <w:szCs w:val="24"/>
        </w:rPr>
        <w:t>ch or policy instrument; in fact, given the tremendous complexity of access and student success issues, governments generally pursue a range of different approaches simultaneously. Approaches are also idiosyncratic because while initial attempts to increase aggregate participation rates focused on the population a</w:t>
      </w:r>
      <w:r w:rsidR="00757202">
        <w:rPr>
          <w:rFonts w:cs="Times New Roman"/>
          <w:szCs w:val="24"/>
        </w:rPr>
        <w:t xml:space="preserve">s a whole, the newer challenge is </w:t>
      </w:r>
      <w:r w:rsidR="00AF0110">
        <w:rPr>
          <w:rFonts w:cs="Times New Roman"/>
          <w:szCs w:val="24"/>
        </w:rPr>
        <w:t>to find ways of increasing acce</w:t>
      </w:r>
      <w:r w:rsidR="00221C87">
        <w:rPr>
          <w:rFonts w:cs="Times New Roman"/>
          <w:szCs w:val="24"/>
        </w:rPr>
        <w:t xml:space="preserve">ss for particular populations, </w:t>
      </w:r>
      <w:r w:rsidR="00AF0110">
        <w:rPr>
          <w:rFonts w:cs="Times New Roman"/>
          <w:szCs w:val="24"/>
        </w:rPr>
        <w:t xml:space="preserve">and this means developing policy approaches that address the needs of these individuals -- needs that frequently can only be understood in terms of community, geographic location, and social, economic and family background. </w:t>
      </w:r>
    </w:p>
    <w:p w14:paraId="33FDF783" w14:textId="13B61718" w:rsidR="00594A85" w:rsidRDefault="00493CA9" w:rsidP="00221C87">
      <w:pPr>
        <w:widowControl w:val="0"/>
        <w:autoSpaceDE w:val="0"/>
        <w:autoSpaceDN w:val="0"/>
        <w:adjustRightInd w:val="0"/>
        <w:spacing w:line="480" w:lineRule="auto"/>
        <w:rPr>
          <w:rFonts w:cs="Times New Roman"/>
          <w:szCs w:val="24"/>
        </w:rPr>
      </w:pPr>
      <w:r>
        <w:rPr>
          <w:rFonts w:cs="Times New Roman"/>
          <w:szCs w:val="24"/>
        </w:rPr>
        <w:tab/>
      </w:r>
      <w:r w:rsidR="00D63DCB">
        <w:rPr>
          <w:rFonts w:cs="Times New Roman"/>
          <w:szCs w:val="24"/>
        </w:rPr>
        <w:t xml:space="preserve">Accessibility appears to be a top priority for many policy makers across Canada, however, these goals are often expressed in different manners across various provinces. </w:t>
      </w:r>
      <w:r w:rsidR="00594A85">
        <w:rPr>
          <w:rFonts w:cs="Times New Roman"/>
          <w:szCs w:val="24"/>
        </w:rPr>
        <w:t xml:space="preserve">Canada offers a number of select contexts from which to compare and analyze the various approaches to expanding accessibility. Context is an important factor in that each jurisdiction has specific barriers to expanding access to education that may present different opportunities or challenges. This is to say that importing a “one size fits all” model is not a model we would recommend, rather, understanding the specific barriers and opportunities of a jurisdiction can enhance the ability of policy makers to meet needs of the people within that context. </w:t>
      </w:r>
    </w:p>
    <w:p w14:paraId="2BC38DBD" w14:textId="4771B92B" w:rsidR="00C510CC" w:rsidRDefault="00C17AF1" w:rsidP="00C510CC">
      <w:pPr>
        <w:widowControl w:val="0"/>
        <w:autoSpaceDE w:val="0"/>
        <w:autoSpaceDN w:val="0"/>
        <w:adjustRightInd w:val="0"/>
        <w:spacing w:line="480" w:lineRule="auto"/>
        <w:ind w:firstLine="720"/>
        <w:rPr>
          <w:rFonts w:cs="Times New Roman"/>
          <w:szCs w:val="24"/>
        </w:rPr>
      </w:pPr>
      <w:r>
        <w:rPr>
          <w:rFonts w:cs="Times New Roman"/>
          <w:szCs w:val="24"/>
        </w:rPr>
        <w:t xml:space="preserve">Though we have details as to the policies in place to promote access, there is a lack of data regarding the outcomes and whether or not these policies are correlating with a desired outcome. </w:t>
      </w:r>
      <w:r w:rsidR="00BE4391">
        <w:rPr>
          <w:rFonts w:cs="Times New Roman"/>
          <w:szCs w:val="24"/>
        </w:rPr>
        <w:t xml:space="preserve">Canada needs to strengthen its research policy </w:t>
      </w:r>
      <w:proofErr w:type="gramStart"/>
      <w:r w:rsidR="00BE4391">
        <w:rPr>
          <w:rFonts w:cs="Times New Roman"/>
          <w:szCs w:val="24"/>
        </w:rPr>
        <w:t>infrastructure  for</w:t>
      </w:r>
      <w:proofErr w:type="gramEnd"/>
      <w:r w:rsidR="00BE4391">
        <w:rPr>
          <w:rFonts w:cs="Times New Roman"/>
          <w:szCs w:val="24"/>
        </w:rPr>
        <w:t xml:space="preserve"> the higher education sector by improving and expanding data collection, and supporting additional data and policy analysis in order to ensure that policy makers have a better understanding of whether specific </w:t>
      </w:r>
      <w:r w:rsidR="00BE4391">
        <w:rPr>
          <w:rFonts w:cs="Times New Roman"/>
          <w:szCs w:val="24"/>
        </w:rPr>
        <w:lastRenderedPageBreak/>
        <w:t>policy initiatives are working.</w:t>
      </w:r>
      <w:r>
        <w:rPr>
          <w:rFonts w:cs="Times New Roman"/>
          <w:szCs w:val="24"/>
        </w:rPr>
        <w:t xml:space="preserve">. </w:t>
      </w:r>
    </w:p>
    <w:p w14:paraId="3A85F2B5" w14:textId="28021F48" w:rsidR="00B01EE6" w:rsidRPr="0055435B" w:rsidRDefault="00594A85" w:rsidP="0055435B">
      <w:pPr>
        <w:widowControl w:val="0"/>
        <w:autoSpaceDE w:val="0"/>
        <w:autoSpaceDN w:val="0"/>
        <w:adjustRightInd w:val="0"/>
        <w:spacing w:line="360" w:lineRule="auto"/>
        <w:rPr>
          <w:rFonts w:cs="Times New Roman"/>
          <w:szCs w:val="24"/>
        </w:rPr>
      </w:pPr>
      <w:r>
        <w:rPr>
          <w:rFonts w:cs="Times New Roman"/>
          <w:szCs w:val="24"/>
        </w:rPr>
        <w:tab/>
      </w:r>
      <w:r w:rsidR="002D323E">
        <w:rPr>
          <w:rFonts w:cs="Times New Roman"/>
          <w:szCs w:val="24"/>
        </w:rPr>
        <w:tab/>
      </w:r>
    </w:p>
    <w:p w14:paraId="33169BD9" w14:textId="0A56D40C" w:rsidR="00BC2478" w:rsidRPr="00E70574" w:rsidRDefault="00BC2478" w:rsidP="0055435B">
      <w:pPr>
        <w:widowControl w:val="0"/>
        <w:autoSpaceDE w:val="0"/>
        <w:autoSpaceDN w:val="0"/>
        <w:adjustRightInd w:val="0"/>
        <w:spacing w:line="360" w:lineRule="auto"/>
        <w:rPr>
          <w:rFonts w:cs="Times New Roman"/>
          <w:b/>
          <w:szCs w:val="24"/>
        </w:rPr>
      </w:pPr>
      <w:r w:rsidRPr="00E70574">
        <w:rPr>
          <w:rFonts w:cs="Times New Roman"/>
          <w:b/>
          <w:szCs w:val="24"/>
        </w:rPr>
        <w:t xml:space="preserve">Acknowledgement: </w:t>
      </w:r>
    </w:p>
    <w:p w14:paraId="7AFE56DA" w14:textId="2107B333" w:rsidR="00BC2478" w:rsidRPr="00E70574" w:rsidRDefault="00BC2478" w:rsidP="00E70574">
      <w:pPr>
        <w:widowControl w:val="0"/>
        <w:autoSpaceDE w:val="0"/>
        <w:autoSpaceDN w:val="0"/>
        <w:adjustRightInd w:val="0"/>
        <w:spacing w:line="240" w:lineRule="auto"/>
        <w:rPr>
          <w:rFonts w:cs="Times New Roman"/>
          <w:i/>
          <w:szCs w:val="24"/>
        </w:rPr>
      </w:pPr>
      <w:r w:rsidRPr="00E70574">
        <w:rPr>
          <w:rFonts w:cs="Times New Roman"/>
          <w:i/>
          <w:szCs w:val="24"/>
        </w:rPr>
        <w:t xml:space="preserve">A technical report on system-level approaches to increasing access to higher education Canada was completed by Glen A. Jones, Theresa Shanahan, </w:t>
      </w:r>
      <w:r w:rsidR="00E70574">
        <w:rPr>
          <w:rFonts w:cs="Times New Roman"/>
          <w:i/>
          <w:szCs w:val="24"/>
        </w:rPr>
        <w:t xml:space="preserve">Lucia </w:t>
      </w:r>
      <w:proofErr w:type="spellStart"/>
      <w:r w:rsidR="00E70574">
        <w:rPr>
          <w:rFonts w:cs="Times New Roman"/>
          <w:i/>
          <w:szCs w:val="24"/>
        </w:rPr>
        <w:t>Padure</w:t>
      </w:r>
      <w:proofErr w:type="spellEnd"/>
      <w:r w:rsidR="00E70574">
        <w:rPr>
          <w:rFonts w:cs="Times New Roman"/>
          <w:i/>
          <w:szCs w:val="24"/>
        </w:rPr>
        <w:t>, Sylvie Lamoure</w:t>
      </w:r>
      <w:r w:rsidRPr="00E70574">
        <w:rPr>
          <w:rFonts w:cs="Times New Roman"/>
          <w:i/>
          <w:szCs w:val="24"/>
        </w:rPr>
        <w:t xml:space="preserve">ux and Emily Gregor </w:t>
      </w:r>
      <w:r w:rsidR="005F5317">
        <w:rPr>
          <w:rFonts w:cs="Times New Roman"/>
          <w:i/>
          <w:szCs w:val="24"/>
        </w:rPr>
        <w:t xml:space="preserve"> </w:t>
      </w:r>
      <w:r w:rsidRPr="00E70574">
        <w:rPr>
          <w:rFonts w:cs="Times New Roman"/>
          <w:i/>
          <w:szCs w:val="24"/>
        </w:rPr>
        <w:t xml:space="preserve">and </w:t>
      </w:r>
      <w:r w:rsidR="00E70574">
        <w:rPr>
          <w:rFonts w:cs="Times New Roman"/>
          <w:i/>
          <w:szCs w:val="24"/>
        </w:rPr>
        <w:t>released</w:t>
      </w:r>
      <w:r w:rsidRPr="00E70574">
        <w:rPr>
          <w:rFonts w:cs="Times New Roman"/>
          <w:i/>
          <w:szCs w:val="24"/>
        </w:rPr>
        <w:t xml:space="preserve"> by the Canada Millennium Scholarship</w:t>
      </w:r>
      <w:r w:rsidR="00E70574" w:rsidRPr="00E70574">
        <w:rPr>
          <w:rFonts w:cs="Times New Roman"/>
          <w:i/>
          <w:szCs w:val="24"/>
        </w:rPr>
        <w:t xml:space="preserve"> in preparation for a national conference entitled “Neither a Moment Nor a Mind to Waste” in 2008. This paper owes much to that earlier work, including its basic organizational structure, though we have substantively updated our review of the literature and our analysis of this extremely important topic.</w:t>
      </w:r>
    </w:p>
    <w:p w14:paraId="4C09B4AD" w14:textId="77777777" w:rsidR="00B01EE6" w:rsidRPr="0055435B" w:rsidRDefault="00B01EE6" w:rsidP="0055435B">
      <w:pPr>
        <w:widowControl w:val="0"/>
        <w:autoSpaceDE w:val="0"/>
        <w:autoSpaceDN w:val="0"/>
        <w:adjustRightInd w:val="0"/>
        <w:spacing w:line="360" w:lineRule="auto"/>
        <w:rPr>
          <w:rFonts w:cs="Times New Roman"/>
          <w:szCs w:val="24"/>
        </w:rPr>
      </w:pPr>
    </w:p>
    <w:p w14:paraId="4E806286" w14:textId="6B9A9A11" w:rsidR="007D46AE" w:rsidRPr="007D46AE" w:rsidRDefault="00536661" w:rsidP="007D46AE">
      <w:pPr>
        <w:spacing w:line="240" w:lineRule="auto"/>
        <w:rPr>
          <w:rFonts w:cs="Times New Roman"/>
          <w:b/>
          <w:szCs w:val="24"/>
        </w:rPr>
      </w:pPr>
      <w:r w:rsidRPr="00E70574">
        <w:rPr>
          <w:rFonts w:cs="Times New Roman"/>
          <w:b/>
          <w:szCs w:val="24"/>
        </w:rPr>
        <w:t xml:space="preserve">References </w:t>
      </w:r>
    </w:p>
    <w:p w14:paraId="07F31C2A" w14:textId="507E6675" w:rsidR="00915480" w:rsidRDefault="00915480" w:rsidP="00915480">
      <w:pPr>
        <w:spacing w:after="360" w:line="240" w:lineRule="auto"/>
        <w:rPr>
          <w:rFonts w:ascii="Times" w:eastAsia="Times New Roman" w:hAnsi="Times" w:cs="Times New Roman"/>
          <w:i/>
          <w:szCs w:val="24"/>
        </w:rPr>
      </w:pPr>
      <w:r>
        <w:rPr>
          <w:rFonts w:ascii="Times" w:eastAsia="Times New Roman" w:hAnsi="Times" w:cs="Times New Roman"/>
          <w:i/>
          <w:szCs w:val="24"/>
        </w:rPr>
        <w:t xml:space="preserve">Alberta Council on Admissions Transfer. (2007). </w:t>
      </w:r>
      <w:r w:rsidRPr="00915480">
        <w:rPr>
          <w:rFonts w:ascii="Times" w:eastAsia="Times New Roman" w:hAnsi="Times" w:cs="Times New Roman"/>
          <w:i/>
          <w:szCs w:val="24"/>
        </w:rPr>
        <w:t>Ass</w:t>
      </w:r>
      <w:r>
        <w:rPr>
          <w:rFonts w:ascii="Times" w:eastAsia="Times New Roman" w:hAnsi="Times" w:cs="Times New Roman"/>
          <w:i/>
          <w:szCs w:val="24"/>
        </w:rPr>
        <w:t>essing and defining the role of ACAT</w:t>
      </w:r>
      <w:r w:rsidRPr="00915480">
        <w:rPr>
          <w:rFonts w:ascii="Times" w:eastAsia="Times New Roman" w:hAnsi="Times" w:cs="Times New Roman"/>
          <w:i/>
          <w:szCs w:val="24"/>
        </w:rPr>
        <w:t xml:space="preserve"> and the transfer system in</w:t>
      </w:r>
      <w:r>
        <w:rPr>
          <w:rFonts w:ascii="Times" w:eastAsia="Times New Roman" w:hAnsi="Times" w:cs="Times New Roman"/>
          <w:i/>
          <w:szCs w:val="24"/>
        </w:rPr>
        <w:t xml:space="preserve"> A</w:t>
      </w:r>
      <w:r w:rsidRPr="00915480">
        <w:rPr>
          <w:rFonts w:ascii="Times" w:eastAsia="Times New Roman" w:hAnsi="Times" w:cs="Times New Roman"/>
          <w:i/>
          <w:szCs w:val="24"/>
        </w:rPr>
        <w:t>lberta’s post-secondary</w:t>
      </w:r>
      <w:r>
        <w:rPr>
          <w:rFonts w:ascii="Times" w:eastAsia="Times New Roman" w:hAnsi="Times" w:cs="Times New Roman"/>
          <w:i/>
          <w:szCs w:val="24"/>
        </w:rPr>
        <w:t xml:space="preserve"> </w:t>
      </w:r>
      <w:r w:rsidRPr="00915480">
        <w:rPr>
          <w:rFonts w:ascii="Times" w:eastAsia="Times New Roman" w:hAnsi="Times" w:cs="Times New Roman"/>
          <w:i/>
          <w:szCs w:val="24"/>
        </w:rPr>
        <w:t>education system</w:t>
      </w:r>
      <w:r>
        <w:rPr>
          <w:rFonts w:ascii="Times" w:eastAsia="Times New Roman" w:hAnsi="Times" w:cs="Times New Roman"/>
          <w:i/>
          <w:szCs w:val="24"/>
        </w:rPr>
        <w:t xml:space="preserve">: What we heard. Alberta Council on Admissions Transfer. Retrieved from </w:t>
      </w:r>
      <w:r w:rsidRPr="00915480">
        <w:rPr>
          <w:rFonts w:ascii="Times" w:eastAsia="Times New Roman" w:hAnsi="Times" w:cs="Times New Roman"/>
          <w:i/>
          <w:szCs w:val="24"/>
        </w:rPr>
        <w:t>http://acat.gov.ab.ca/acat_information/WhatWeHeard.pdf</w:t>
      </w:r>
    </w:p>
    <w:p w14:paraId="70F014EB" w14:textId="148C2797" w:rsidR="00EC5223" w:rsidRDefault="00EC5223" w:rsidP="00310E66">
      <w:pPr>
        <w:spacing w:after="360" w:line="240" w:lineRule="auto"/>
        <w:rPr>
          <w:rFonts w:ascii="Times" w:eastAsia="Times New Roman" w:hAnsi="Times" w:cs="Times New Roman"/>
          <w:i/>
          <w:szCs w:val="24"/>
        </w:rPr>
      </w:pPr>
      <w:r>
        <w:rPr>
          <w:rFonts w:ascii="Times" w:eastAsia="Times New Roman" w:hAnsi="Times" w:cs="Times New Roman"/>
          <w:i/>
          <w:szCs w:val="24"/>
        </w:rPr>
        <w:t xml:space="preserve">Adult Learning </w:t>
      </w:r>
      <w:proofErr w:type="spellStart"/>
      <w:r>
        <w:rPr>
          <w:rFonts w:ascii="Times" w:eastAsia="Times New Roman" w:hAnsi="Times" w:cs="Times New Roman"/>
          <w:i/>
          <w:szCs w:val="24"/>
        </w:rPr>
        <w:t>Centres</w:t>
      </w:r>
      <w:proofErr w:type="spellEnd"/>
      <w:r>
        <w:rPr>
          <w:rFonts w:ascii="Times" w:eastAsia="Times New Roman" w:hAnsi="Times" w:cs="Times New Roman"/>
          <w:i/>
          <w:szCs w:val="24"/>
        </w:rPr>
        <w:t xml:space="preserve"> Act [C.C.S.M 2002]. </w:t>
      </w:r>
      <w:r w:rsidRPr="00BE4391">
        <w:rPr>
          <w:rFonts w:ascii="Times" w:eastAsia="Times New Roman" w:hAnsi="Times" w:cs="Times New Roman"/>
          <w:szCs w:val="24"/>
        </w:rPr>
        <w:t>c. A5. Current as of September 13, 2013. Retrieved from https://web2.gov.mb.ca/laws/statutes/ccsm/a005e.php</w:t>
      </w:r>
    </w:p>
    <w:p w14:paraId="45120ECC" w14:textId="088E58EB" w:rsidR="006C6FEF" w:rsidRDefault="006C6FEF" w:rsidP="00310E66">
      <w:pPr>
        <w:spacing w:after="360" w:line="240" w:lineRule="auto"/>
        <w:rPr>
          <w:rFonts w:ascii="Times" w:eastAsia="Times New Roman" w:hAnsi="Times" w:cs="Times New Roman"/>
          <w:szCs w:val="24"/>
        </w:rPr>
      </w:pPr>
      <w:r w:rsidRPr="00ED6958">
        <w:rPr>
          <w:rFonts w:ascii="Times" w:eastAsia="Times New Roman" w:hAnsi="Times" w:cs="Times New Roman"/>
          <w:i/>
          <w:szCs w:val="24"/>
        </w:rPr>
        <w:t>Adult Literacy Act</w:t>
      </w:r>
      <w:r>
        <w:rPr>
          <w:rFonts w:ascii="Times" w:eastAsia="Times New Roman" w:hAnsi="Times" w:cs="Times New Roman"/>
          <w:szCs w:val="24"/>
        </w:rPr>
        <w:t>.</w:t>
      </w:r>
      <w:r w:rsidRPr="00BE4391">
        <w:rPr>
          <w:rFonts w:ascii="Times" w:eastAsia="Times New Roman" w:hAnsi="Times" w:cs="Times New Roman"/>
          <w:i/>
          <w:szCs w:val="24"/>
        </w:rPr>
        <w:t xml:space="preserve"> [C.C.S.M. </w:t>
      </w:r>
      <w:r w:rsidR="00EC5223" w:rsidRPr="00BE4391">
        <w:rPr>
          <w:rFonts w:ascii="Times" w:eastAsia="Times New Roman" w:hAnsi="Times" w:cs="Times New Roman"/>
          <w:i/>
          <w:szCs w:val="24"/>
        </w:rPr>
        <w:t xml:space="preserve">2009] </w:t>
      </w:r>
      <w:r w:rsidR="00EC5223">
        <w:rPr>
          <w:rFonts w:ascii="Times" w:eastAsia="Times New Roman" w:hAnsi="Times" w:cs="Times New Roman"/>
          <w:szCs w:val="24"/>
        </w:rPr>
        <w:t>c. A6</w:t>
      </w:r>
      <w:r>
        <w:rPr>
          <w:rFonts w:ascii="Times" w:eastAsia="Times New Roman" w:hAnsi="Times" w:cs="Times New Roman"/>
          <w:szCs w:val="24"/>
        </w:rPr>
        <w:t xml:space="preserve"> Current as of September 13, 2013. Retrieved from </w:t>
      </w:r>
      <w:r w:rsidRPr="006C6FEF">
        <w:rPr>
          <w:rFonts w:ascii="Times" w:eastAsia="Times New Roman" w:hAnsi="Times" w:cs="Times New Roman"/>
          <w:szCs w:val="24"/>
        </w:rPr>
        <w:t>https://web2.gov.mb.ca/laws/statutes/ccsm/a006e.php</w:t>
      </w:r>
    </w:p>
    <w:p w14:paraId="46076F14" w14:textId="60CE7236"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Alberta Ministry for Advanced Education. (2006). </w:t>
      </w:r>
      <w:r w:rsidR="00221C87">
        <w:rPr>
          <w:rFonts w:eastAsiaTheme="minorEastAsia" w:cs="Times New Roman"/>
          <w:i/>
          <w:color w:val="404040" w:themeColor="text1" w:themeTint="BF"/>
          <w:szCs w:val="24"/>
        </w:rPr>
        <w:t>A learning Alberta: Final r</w:t>
      </w:r>
      <w:r w:rsidRPr="00310E66">
        <w:rPr>
          <w:rFonts w:eastAsiaTheme="minorEastAsia" w:cs="Times New Roman"/>
          <w:i/>
          <w:color w:val="404040" w:themeColor="text1" w:themeTint="BF"/>
          <w:szCs w:val="24"/>
        </w:rPr>
        <w:t>eport of the Steering Committee.</w:t>
      </w:r>
      <w:r w:rsidRPr="00310E66">
        <w:rPr>
          <w:rFonts w:eastAsiaTheme="minorEastAsia" w:cs="Times New Roman"/>
          <w:color w:val="404040" w:themeColor="text1" w:themeTint="BF"/>
          <w:szCs w:val="24"/>
        </w:rPr>
        <w:t xml:space="preserve"> Edmonton, AB: Government of Alberta. Retrieved from http://eae.alberta.ca/media/133863/steering_committee_final_report.pdf</w:t>
      </w:r>
    </w:p>
    <w:p w14:paraId="263D200B" w14:textId="71E4AEFB"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Alberta Enterprise and Advanced Education. (2010).</w:t>
      </w:r>
      <w:r w:rsidR="00221C87">
        <w:rPr>
          <w:rFonts w:eastAsiaTheme="minorEastAsia" w:cs="Times New Roman"/>
          <w:i/>
          <w:color w:val="404040" w:themeColor="text1" w:themeTint="BF"/>
          <w:szCs w:val="24"/>
        </w:rPr>
        <w:t xml:space="preserve"> Increasing learner a</w:t>
      </w:r>
      <w:r w:rsidRPr="00310E66">
        <w:rPr>
          <w:rFonts w:eastAsiaTheme="minorEastAsia" w:cs="Times New Roman"/>
          <w:i/>
          <w:color w:val="404040" w:themeColor="text1" w:themeTint="BF"/>
          <w:szCs w:val="24"/>
        </w:rPr>
        <w:t>cc</w:t>
      </w:r>
      <w:r w:rsidR="00221C87">
        <w:rPr>
          <w:rFonts w:eastAsiaTheme="minorEastAsia" w:cs="Times New Roman"/>
          <w:i/>
          <w:color w:val="404040" w:themeColor="text1" w:themeTint="BF"/>
          <w:szCs w:val="24"/>
        </w:rPr>
        <w:t>ess through system alignment: Final r</w:t>
      </w:r>
      <w:r w:rsidRPr="00310E66">
        <w:rPr>
          <w:rFonts w:eastAsiaTheme="minorEastAsia" w:cs="Times New Roman"/>
          <w:i/>
          <w:color w:val="404040" w:themeColor="text1" w:themeTint="BF"/>
          <w:szCs w:val="24"/>
        </w:rPr>
        <w:t>eport of the Community Adult Learning Task Team</w:t>
      </w:r>
      <w:r w:rsidRPr="00310E66">
        <w:rPr>
          <w:rFonts w:eastAsiaTheme="minorEastAsia" w:cs="Times New Roman"/>
          <w:color w:val="404040" w:themeColor="text1" w:themeTint="BF"/>
          <w:szCs w:val="24"/>
        </w:rPr>
        <w:t>. Edmonton, AB: Government of Alberta. Retrieved from http://eae.alberta.ca/media/268596/calttreport.pdf</w:t>
      </w:r>
    </w:p>
    <w:p w14:paraId="12030E4E" w14:textId="77777777" w:rsidR="00310E66" w:rsidRPr="00310E66" w:rsidRDefault="00310E66" w:rsidP="00310E66">
      <w:pPr>
        <w:spacing w:after="360" w:line="240" w:lineRule="auto"/>
        <w:rPr>
          <w:rFonts w:eastAsiaTheme="minorEastAsia" w:cs="Times New Roman"/>
          <w:color w:val="404040" w:themeColor="text1" w:themeTint="BF"/>
          <w:szCs w:val="24"/>
        </w:rPr>
      </w:pPr>
      <w:proofErr w:type="spellStart"/>
      <w:r w:rsidRPr="00310E66">
        <w:rPr>
          <w:rFonts w:eastAsiaTheme="minorEastAsia" w:cs="Times New Roman"/>
          <w:color w:val="404040" w:themeColor="text1" w:themeTint="BF"/>
          <w:szCs w:val="24"/>
        </w:rPr>
        <w:t>Abdellatif</w:t>
      </w:r>
      <w:proofErr w:type="spellEnd"/>
      <w:r w:rsidRPr="00310E66">
        <w:rPr>
          <w:rFonts w:eastAsiaTheme="minorEastAsia" w:cs="Times New Roman"/>
          <w:color w:val="404040" w:themeColor="text1" w:themeTint="BF"/>
          <w:szCs w:val="24"/>
        </w:rPr>
        <w:t xml:space="preserve">, N. (2012, February 16). Minister explains 30 per cent off Ontario Tuition Grant. </w:t>
      </w:r>
      <w:r w:rsidRPr="00310E66">
        <w:rPr>
          <w:rFonts w:eastAsiaTheme="minorEastAsia" w:cs="Times New Roman"/>
          <w:i/>
          <w:color w:val="404040" w:themeColor="text1" w:themeTint="BF"/>
          <w:szCs w:val="24"/>
        </w:rPr>
        <w:t>Times Web City Beat.</w:t>
      </w:r>
      <w:r w:rsidRPr="00310E66">
        <w:rPr>
          <w:rFonts w:eastAsiaTheme="minorEastAsia" w:cs="Times New Roman"/>
          <w:color w:val="404040" w:themeColor="text1" w:themeTint="BF"/>
          <w:szCs w:val="24"/>
        </w:rPr>
        <w:t xml:space="preserve"> Retrieved from </w:t>
      </w:r>
      <w:hyperlink r:id="rId8" w:history="1">
        <w:r w:rsidRPr="00310E66">
          <w:rPr>
            <w:rFonts w:eastAsiaTheme="minorEastAsia" w:cs="Times New Roman"/>
            <w:color w:val="404040" w:themeColor="text1" w:themeTint="BF"/>
            <w:szCs w:val="24"/>
          </w:rPr>
          <w:t>http://times.webcitybeat.com/?p=569</w:t>
        </w:r>
      </w:hyperlink>
    </w:p>
    <w:p w14:paraId="1A4884AE" w14:textId="77777777"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Barbour, M. K., &amp; Reeves, T. C. (2009). The reality of virtual schools: A review of the literature. </w:t>
      </w:r>
      <w:r w:rsidRPr="00310E66">
        <w:rPr>
          <w:rFonts w:eastAsiaTheme="minorEastAsia" w:cs="Times New Roman"/>
          <w:i/>
          <w:color w:val="404040" w:themeColor="text1" w:themeTint="BF"/>
          <w:szCs w:val="24"/>
        </w:rPr>
        <w:t>Computers and Education</w:t>
      </w:r>
      <w:r w:rsidRPr="00310E66">
        <w:rPr>
          <w:rFonts w:eastAsiaTheme="minorEastAsia" w:cs="Times New Roman"/>
          <w:color w:val="404040" w:themeColor="text1" w:themeTint="BF"/>
          <w:szCs w:val="24"/>
        </w:rPr>
        <w:t xml:space="preserve">, </w:t>
      </w:r>
      <w:r w:rsidRPr="00310E66">
        <w:rPr>
          <w:rFonts w:eastAsiaTheme="minorEastAsia" w:cs="Times New Roman"/>
          <w:i/>
          <w:color w:val="404040" w:themeColor="text1" w:themeTint="BF"/>
          <w:szCs w:val="24"/>
        </w:rPr>
        <w:t>52(2),</w:t>
      </w:r>
      <w:r w:rsidRPr="00310E66">
        <w:rPr>
          <w:rFonts w:eastAsiaTheme="minorEastAsia" w:cs="Times New Roman"/>
          <w:color w:val="404040" w:themeColor="text1" w:themeTint="BF"/>
          <w:szCs w:val="24"/>
        </w:rPr>
        <w:t xml:space="preserve"> 402-416. </w:t>
      </w:r>
    </w:p>
    <w:p w14:paraId="6B16BF7B" w14:textId="2357DD26"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lastRenderedPageBreak/>
        <w:t xml:space="preserve">British Columbia Council on Admissions and Transfer (BCCAT). (2009). </w:t>
      </w:r>
      <w:r w:rsidR="00221C87">
        <w:rPr>
          <w:rFonts w:eastAsiaTheme="minorEastAsia" w:cs="Times New Roman"/>
          <w:i/>
          <w:color w:val="404040" w:themeColor="text1" w:themeTint="BF"/>
          <w:szCs w:val="24"/>
        </w:rPr>
        <w:t>Special report: Credit transfer: Models and s</w:t>
      </w:r>
      <w:r w:rsidRPr="00310E66">
        <w:rPr>
          <w:rFonts w:eastAsiaTheme="minorEastAsia" w:cs="Times New Roman"/>
          <w:i/>
          <w:color w:val="404040" w:themeColor="text1" w:themeTint="BF"/>
          <w:szCs w:val="24"/>
        </w:rPr>
        <w:t>ystems in BC, North America and Beyond.</w:t>
      </w:r>
      <w:r w:rsidRPr="00310E66">
        <w:rPr>
          <w:rFonts w:eastAsiaTheme="minorEastAsia" w:cs="Times New Roman"/>
          <w:color w:val="404040" w:themeColor="text1" w:themeTint="BF"/>
          <w:szCs w:val="24"/>
        </w:rPr>
        <w:t xml:space="preserve"> Retrieved from http://www.google.ca/url?sa=t&amp;rct=j&amp;q=&amp;esrc=s&amp;source=web&amp;cd=1&amp;ved=0CDoQFjAA&amp;url=http%3A%2F%2Fbccat.ca%2Fpubs%2Fsr_transfermodels.pdf&amp;ei=ftwvUoe3DIWKrAGv64CAAQ&amp;usg=AFQjCNH_eCMCcpIK4YPDTKvV2ZqN2GIuJQ&amp;bvm=bv.51773540,d.aWM</w:t>
      </w:r>
    </w:p>
    <w:p w14:paraId="62BCBB55" w14:textId="7D9C47D2"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British Columbia Council on Admissions and Transfer (BCCAT). (2013). </w:t>
      </w:r>
      <w:r w:rsidR="00221C87">
        <w:rPr>
          <w:rFonts w:eastAsiaTheme="minorEastAsia" w:cs="Times New Roman"/>
          <w:i/>
          <w:color w:val="404040" w:themeColor="text1" w:themeTint="BF"/>
          <w:szCs w:val="24"/>
        </w:rPr>
        <w:t>Expanding p</w:t>
      </w:r>
      <w:r w:rsidRPr="00310E66">
        <w:rPr>
          <w:rFonts w:eastAsiaTheme="minorEastAsia" w:cs="Times New Roman"/>
          <w:i/>
          <w:color w:val="404040" w:themeColor="text1" w:themeTint="BF"/>
          <w:szCs w:val="24"/>
        </w:rPr>
        <w:t xml:space="preserve">athway </w:t>
      </w:r>
      <w:r w:rsidR="00221C87">
        <w:rPr>
          <w:rFonts w:eastAsiaTheme="minorEastAsia" w:cs="Times New Roman"/>
          <w:i/>
          <w:color w:val="404040" w:themeColor="text1" w:themeTint="BF"/>
          <w:szCs w:val="24"/>
        </w:rPr>
        <w:t>o</w:t>
      </w:r>
      <w:r w:rsidRPr="00310E66">
        <w:rPr>
          <w:rFonts w:eastAsiaTheme="minorEastAsia" w:cs="Times New Roman"/>
          <w:i/>
          <w:color w:val="404040" w:themeColor="text1" w:themeTint="BF"/>
          <w:szCs w:val="24"/>
        </w:rPr>
        <w:t xml:space="preserve">ptions for BC Students: 2012-13 Annual Review. </w:t>
      </w:r>
      <w:r w:rsidRPr="00310E66">
        <w:rPr>
          <w:rFonts w:eastAsiaTheme="minorEastAsia" w:cs="Times New Roman"/>
          <w:color w:val="404040" w:themeColor="text1" w:themeTint="BF"/>
          <w:szCs w:val="24"/>
        </w:rPr>
        <w:t>Victoria, BC: British Columbia Council on Admissions and Transfer</w:t>
      </w:r>
      <w:r w:rsidRPr="00310E66">
        <w:rPr>
          <w:rFonts w:eastAsiaTheme="minorEastAsia" w:cs="Times New Roman"/>
          <w:i/>
          <w:color w:val="404040" w:themeColor="text1" w:themeTint="BF"/>
          <w:szCs w:val="24"/>
        </w:rPr>
        <w:t xml:space="preserve">. </w:t>
      </w:r>
      <w:r w:rsidRPr="00310E66">
        <w:rPr>
          <w:rFonts w:eastAsiaTheme="minorEastAsia" w:cs="Times New Roman"/>
          <w:color w:val="404040" w:themeColor="text1" w:themeTint="BF"/>
          <w:szCs w:val="24"/>
        </w:rPr>
        <w:t>Retrieved from http://bccat.ca/pubs/2012-13_Annual_Review.pdf</w:t>
      </w:r>
    </w:p>
    <w:p w14:paraId="7D6B8A36" w14:textId="5327C58F"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Berger, J. (2007). </w:t>
      </w:r>
      <w:r w:rsidR="00221C87">
        <w:rPr>
          <w:rFonts w:eastAsiaTheme="minorEastAsia" w:cs="Times New Roman"/>
          <w:i/>
          <w:color w:val="404040" w:themeColor="text1" w:themeTint="BF"/>
          <w:szCs w:val="24"/>
        </w:rPr>
        <w:t>A new kind of student aid: Creating, implementing and a</w:t>
      </w:r>
      <w:r w:rsidRPr="00310E66">
        <w:rPr>
          <w:rFonts w:eastAsiaTheme="minorEastAsia" w:cs="Times New Roman"/>
          <w:i/>
          <w:color w:val="404040" w:themeColor="text1" w:themeTint="BF"/>
          <w:szCs w:val="24"/>
        </w:rPr>
        <w:t xml:space="preserve">ssessing the Millennium Access Bursaries. </w:t>
      </w:r>
      <w:r w:rsidRPr="00310E66">
        <w:rPr>
          <w:rFonts w:eastAsiaTheme="minorEastAsia" w:cs="Times New Roman"/>
          <w:color w:val="404040" w:themeColor="text1" w:themeTint="BF"/>
          <w:szCs w:val="24"/>
        </w:rPr>
        <w:t>Ottawa, ON: Canada Millennium Scholarship Foundation. Retrieved from http://www.library.carleton.ca/sites/default/files/find/data/surveys/pdf_files/millennium_2007-12-20_rn-5_en.pdf</w:t>
      </w:r>
    </w:p>
    <w:p w14:paraId="21A22DC2" w14:textId="39E9A29E"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Berger, J. (2008). </w:t>
      </w:r>
      <w:r w:rsidR="00221C87">
        <w:rPr>
          <w:rFonts w:eastAsiaTheme="minorEastAsia" w:cs="Times New Roman"/>
          <w:i/>
          <w:color w:val="404040" w:themeColor="text1" w:themeTint="BF"/>
          <w:szCs w:val="24"/>
        </w:rPr>
        <w:t>Why access m</w:t>
      </w:r>
      <w:r w:rsidRPr="00310E66">
        <w:rPr>
          <w:rFonts w:eastAsiaTheme="minorEastAsia" w:cs="Times New Roman"/>
          <w:i/>
          <w:color w:val="404040" w:themeColor="text1" w:themeTint="BF"/>
          <w:szCs w:val="24"/>
        </w:rPr>
        <w:t>atters</w:t>
      </w:r>
      <w:r w:rsidR="00221C87">
        <w:rPr>
          <w:rFonts w:eastAsiaTheme="minorEastAsia" w:cs="Times New Roman"/>
          <w:i/>
          <w:color w:val="404040" w:themeColor="text1" w:themeTint="BF"/>
          <w:szCs w:val="24"/>
        </w:rPr>
        <w:t xml:space="preserve"> revisited: A review of the latest r</w:t>
      </w:r>
      <w:r w:rsidRPr="00310E66">
        <w:rPr>
          <w:rFonts w:eastAsiaTheme="minorEastAsia" w:cs="Times New Roman"/>
          <w:i/>
          <w:color w:val="404040" w:themeColor="text1" w:themeTint="BF"/>
          <w:szCs w:val="24"/>
        </w:rPr>
        <w:t>esearch.</w:t>
      </w:r>
      <w:r w:rsidRPr="00310E66">
        <w:rPr>
          <w:rFonts w:eastAsiaTheme="minorEastAsia" w:cs="Times New Roman"/>
          <w:color w:val="404040" w:themeColor="text1" w:themeTint="BF"/>
          <w:szCs w:val="24"/>
        </w:rPr>
        <w:t xml:space="preserve"> Ottawa, ON: Canada Millennium Scholarship Foundation. Retrieved from http://qspace.library.queensu.ca/handle/1974/5810</w:t>
      </w:r>
    </w:p>
    <w:p w14:paraId="65C233EE" w14:textId="742435F1"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Berger, J., &amp; Parkin, A. (2008). </w:t>
      </w:r>
      <w:r w:rsidR="00221C87">
        <w:rPr>
          <w:rFonts w:eastAsiaTheme="minorEastAsia" w:cs="Times New Roman"/>
          <w:i/>
          <w:color w:val="404040" w:themeColor="text1" w:themeTint="BF"/>
          <w:szCs w:val="24"/>
        </w:rPr>
        <w:t>Ten things you need to know... about financial s</w:t>
      </w:r>
      <w:r w:rsidRPr="00310E66">
        <w:rPr>
          <w:rFonts w:eastAsiaTheme="minorEastAsia" w:cs="Times New Roman"/>
          <w:i/>
          <w:color w:val="404040" w:themeColor="text1" w:themeTint="BF"/>
          <w:szCs w:val="24"/>
        </w:rPr>
        <w:t xml:space="preserve">upport for </w:t>
      </w:r>
      <w:r w:rsidR="00221C87">
        <w:rPr>
          <w:rFonts w:eastAsiaTheme="minorEastAsia" w:cs="Times New Roman"/>
          <w:i/>
          <w:color w:val="404040" w:themeColor="text1" w:themeTint="BF"/>
          <w:szCs w:val="24"/>
        </w:rPr>
        <w:t>post-secondary s</w:t>
      </w:r>
      <w:r w:rsidRPr="00310E66">
        <w:rPr>
          <w:rFonts w:eastAsiaTheme="minorEastAsia" w:cs="Times New Roman"/>
          <w:i/>
          <w:color w:val="404040" w:themeColor="text1" w:themeTint="BF"/>
          <w:szCs w:val="24"/>
        </w:rPr>
        <w:t>tudents in Canada.</w:t>
      </w:r>
      <w:r w:rsidRPr="00310E66">
        <w:rPr>
          <w:rFonts w:eastAsiaTheme="minorEastAsia" w:cs="Times New Roman"/>
          <w:color w:val="404040" w:themeColor="text1" w:themeTint="BF"/>
          <w:szCs w:val="24"/>
        </w:rPr>
        <w:t xml:space="preserve"> Ottawa, ON: Canada Millennium Scholarship Foundation. Retrieved from http://css.oise.utoronto.ca/UserFiles/File/How_Governments_Support.pdf</w:t>
      </w:r>
    </w:p>
    <w:p w14:paraId="664F2419" w14:textId="265094B0"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Berger, J, &amp; Usher, A. (2010). </w:t>
      </w:r>
      <w:r w:rsidR="00221C87">
        <w:rPr>
          <w:rFonts w:eastAsiaTheme="minorEastAsia" w:cs="Times New Roman"/>
          <w:i/>
          <w:color w:val="404040" w:themeColor="text1" w:themeTint="BF"/>
          <w:szCs w:val="24"/>
        </w:rPr>
        <w:t>President for a day: Students’ preferences for d</w:t>
      </w:r>
      <w:r w:rsidRPr="00310E66">
        <w:rPr>
          <w:rFonts w:eastAsiaTheme="minorEastAsia" w:cs="Times New Roman"/>
          <w:i/>
          <w:color w:val="404040" w:themeColor="text1" w:themeTint="BF"/>
          <w:szCs w:val="24"/>
        </w:rPr>
        <w:t>ea</w:t>
      </w:r>
      <w:r w:rsidR="00221C87">
        <w:rPr>
          <w:rFonts w:eastAsiaTheme="minorEastAsia" w:cs="Times New Roman"/>
          <w:i/>
          <w:color w:val="404040" w:themeColor="text1" w:themeTint="BF"/>
          <w:szCs w:val="24"/>
        </w:rPr>
        <w:t>ling with a budget c</w:t>
      </w:r>
      <w:r w:rsidRPr="00310E66">
        <w:rPr>
          <w:rFonts w:eastAsiaTheme="minorEastAsia" w:cs="Times New Roman"/>
          <w:i/>
          <w:color w:val="404040" w:themeColor="text1" w:themeTint="BF"/>
          <w:szCs w:val="24"/>
        </w:rPr>
        <w:t>risis.</w:t>
      </w:r>
      <w:r w:rsidRPr="00310E66">
        <w:rPr>
          <w:rFonts w:eastAsiaTheme="minorEastAsia" w:cs="Times New Roman"/>
          <w:color w:val="404040" w:themeColor="text1" w:themeTint="BF"/>
          <w:szCs w:val="24"/>
        </w:rPr>
        <w:t xml:space="preserve"> Toronto, ON: Higher Education Strategy Associates Intelligence Brief 3. Retrieved from http://higheredstrategy.com/publications/president-for-a-day-students-preferences-for-dealing-with-a-budget-crisis-intelligence-brief-2/</w:t>
      </w:r>
    </w:p>
    <w:p w14:paraId="0528CFD7" w14:textId="17DC0669"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Bond, R., </w:t>
      </w:r>
      <w:proofErr w:type="spellStart"/>
      <w:r w:rsidRPr="00310E66">
        <w:rPr>
          <w:rFonts w:eastAsiaTheme="minorEastAsia" w:cs="Times New Roman"/>
          <w:color w:val="404040" w:themeColor="text1" w:themeTint="BF"/>
          <w:szCs w:val="24"/>
        </w:rPr>
        <w:t>Gelin</w:t>
      </w:r>
      <w:proofErr w:type="spellEnd"/>
      <w:r w:rsidRPr="00310E66">
        <w:rPr>
          <w:rFonts w:eastAsiaTheme="minorEastAsia" w:cs="Times New Roman"/>
          <w:color w:val="404040" w:themeColor="text1" w:themeTint="BF"/>
          <w:szCs w:val="24"/>
        </w:rPr>
        <w:t xml:space="preserve">, F., van Brummelen, H., Waterhouse, J, &amp; Stubbs, J. (2011). </w:t>
      </w:r>
      <w:r w:rsidR="00221C87">
        <w:rPr>
          <w:rFonts w:eastAsiaTheme="minorEastAsia" w:cs="Times New Roman"/>
          <w:i/>
          <w:color w:val="404040" w:themeColor="text1" w:themeTint="BF"/>
          <w:szCs w:val="24"/>
        </w:rPr>
        <w:t>Review of the degree approval p</w:t>
      </w:r>
      <w:r w:rsidRPr="00310E66">
        <w:rPr>
          <w:rFonts w:eastAsiaTheme="minorEastAsia" w:cs="Times New Roman"/>
          <w:i/>
          <w:color w:val="404040" w:themeColor="text1" w:themeTint="BF"/>
          <w:szCs w:val="24"/>
        </w:rPr>
        <w:t xml:space="preserve">rocess in British Columbia. </w:t>
      </w:r>
      <w:r w:rsidRPr="00310E66">
        <w:rPr>
          <w:rFonts w:eastAsiaTheme="minorEastAsia" w:cs="Times New Roman"/>
          <w:color w:val="404040" w:themeColor="text1" w:themeTint="BF"/>
          <w:szCs w:val="24"/>
        </w:rPr>
        <w:t xml:space="preserve">Victoria, BC: Ministry of Advanced Education. Retrieved from: </w:t>
      </w:r>
      <w:hyperlink r:id="rId9" w:history="1">
        <w:r w:rsidRPr="00310E66">
          <w:rPr>
            <w:rFonts w:eastAsiaTheme="minorEastAsia" w:cs="Times New Roman"/>
            <w:color w:val="404040" w:themeColor="text1" w:themeTint="BF"/>
            <w:szCs w:val="24"/>
          </w:rPr>
          <w:t>http://www.aved.gov.bc.ca/degree-authorization/documents/Stubbs-Report.pdf</w:t>
        </w:r>
      </w:hyperlink>
    </w:p>
    <w:p w14:paraId="09BA2F25" w14:textId="77777777"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British Columbia Ministry of Advanced Education. (2007). </w:t>
      </w:r>
      <w:r w:rsidRPr="00310E66">
        <w:rPr>
          <w:rFonts w:eastAsiaTheme="minorEastAsia" w:cs="Times New Roman"/>
          <w:i/>
          <w:color w:val="404040" w:themeColor="text1" w:themeTint="BF"/>
          <w:szCs w:val="24"/>
        </w:rPr>
        <w:t>Campus 2020: Thinking ahead—the report.</w:t>
      </w:r>
      <w:r w:rsidRPr="00310E66">
        <w:rPr>
          <w:rFonts w:eastAsiaTheme="minorEastAsia" w:cs="Times New Roman"/>
          <w:color w:val="404040" w:themeColor="text1" w:themeTint="BF"/>
          <w:szCs w:val="24"/>
        </w:rPr>
        <w:t xml:space="preserve"> Victoria, BC: Ministry of Advanced Education.  </w:t>
      </w:r>
    </w:p>
    <w:p w14:paraId="46AF4F38" w14:textId="77777777"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British Columbia Ministry of Advanced Education and </w:t>
      </w:r>
      <w:proofErr w:type="spellStart"/>
      <w:r w:rsidRPr="00310E66">
        <w:rPr>
          <w:rFonts w:eastAsiaTheme="minorEastAsia" w:cs="Times New Roman"/>
          <w:color w:val="404040" w:themeColor="text1" w:themeTint="BF"/>
          <w:szCs w:val="24"/>
        </w:rPr>
        <w:t>Labour</w:t>
      </w:r>
      <w:proofErr w:type="spellEnd"/>
      <w:r w:rsidRPr="00310E66">
        <w:rPr>
          <w:rFonts w:eastAsiaTheme="minorEastAsia" w:cs="Times New Roman"/>
          <w:color w:val="404040" w:themeColor="text1" w:themeTint="BF"/>
          <w:szCs w:val="24"/>
        </w:rPr>
        <w:t xml:space="preserve"> Market Development (2009). </w:t>
      </w:r>
      <w:r w:rsidRPr="00310E66">
        <w:rPr>
          <w:rFonts w:eastAsiaTheme="minorEastAsia" w:cs="Times New Roman"/>
          <w:i/>
          <w:color w:val="404040" w:themeColor="text1" w:themeTint="BF"/>
          <w:szCs w:val="24"/>
        </w:rPr>
        <w:t>B.C. post-secondary education facts.</w:t>
      </w:r>
      <w:r w:rsidRPr="00310E66">
        <w:rPr>
          <w:rFonts w:eastAsiaTheme="minorEastAsia" w:cs="Times New Roman"/>
          <w:color w:val="404040" w:themeColor="text1" w:themeTint="BF"/>
          <w:szCs w:val="24"/>
        </w:rPr>
        <w:t xml:space="preserve"> Victoria, BC: Ministry of Advanced Education and </w:t>
      </w:r>
      <w:proofErr w:type="spellStart"/>
      <w:r w:rsidRPr="00310E66">
        <w:rPr>
          <w:rFonts w:eastAsiaTheme="minorEastAsia" w:cs="Times New Roman"/>
          <w:color w:val="404040" w:themeColor="text1" w:themeTint="BF"/>
          <w:szCs w:val="24"/>
        </w:rPr>
        <w:t>Labour</w:t>
      </w:r>
      <w:proofErr w:type="spellEnd"/>
      <w:r w:rsidRPr="00310E66">
        <w:rPr>
          <w:rFonts w:eastAsiaTheme="minorEastAsia" w:cs="Times New Roman"/>
          <w:color w:val="404040" w:themeColor="text1" w:themeTint="BF"/>
          <w:szCs w:val="24"/>
        </w:rPr>
        <w:t xml:space="preserve"> Market Development.  </w:t>
      </w:r>
    </w:p>
    <w:p w14:paraId="4E7EFAB3" w14:textId="77777777"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Browne, S., &amp; Doyle, H. (2010). </w:t>
      </w:r>
      <w:r w:rsidRPr="00310E66">
        <w:rPr>
          <w:rFonts w:eastAsiaTheme="minorEastAsia" w:cs="Times New Roman"/>
          <w:i/>
          <w:color w:val="404040" w:themeColor="text1" w:themeTint="BF"/>
          <w:szCs w:val="24"/>
        </w:rPr>
        <w:t>Discovering the benefits of a first year experience program for under-represented students: A preliminary assessment of Lakehead University’s Gateway Program.</w:t>
      </w:r>
      <w:r w:rsidRPr="00310E66">
        <w:rPr>
          <w:rFonts w:eastAsiaTheme="minorEastAsia" w:cs="Times New Roman"/>
          <w:color w:val="404040" w:themeColor="text1" w:themeTint="BF"/>
          <w:szCs w:val="24"/>
        </w:rPr>
        <w:t xml:space="preserve"> Toronto, ON: Higher Education Quality Council of Ontario.</w:t>
      </w:r>
    </w:p>
    <w:p w14:paraId="78647952" w14:textId="403E42CC"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lastRenderedPageBreak/>
        <w:t xml:space="preserve">British Columbia Statistics (BC Stats). (2005).  </w:t>
      </w:r>
      <w:r w:rsidR="00221C87">
        <w:rPr>
          <w:rFonts w:eastAsiaTheme="minorEastAsia" w:cs="Times New Roman"/>
          <w:i/>
          <w:color w:val="404040" w:themeColor="text1" w:themeTint="BF"/>
          <w:szCs w:val="24"/>
        </w:rPr>
        <w:t>The Educational a</w:t>
      </w:r>
      <w:r w:rsidRPr="00310E66">
        <w:rPr>
          <w:rFonts w:eastAsiaTheme="minorEastAsia" w:cs="Times New Roman"/>
          <w:i/>
          <w:color w:val="404040" w:themeColor="text1" w:themeTint="BF"/>
          <w:szCs w:val="24"/>
        </w:rPr>
        <w:t>ttain</w:t>
      </w:r>
      <w:r w:rsidR="00221C87">
        <w:rPr>
          <w:rFonts w:eastAsiaTheme="minorEastAsia" w:cs="Times New Roman"/>
          <w:i/>
          <w:color w:val="404040" w:themeColor="text1" w:themeTint="BF"/>
          <w:szCs w:val="24"/>
        </w:rPr>
        <w:t>ment of aboriginal peoples: Part II post-secondary c</w:t>
      </w:r>
      <w:r w:rsidRPr="00310E66">
        <w:rPr>
          <w:rFonts w:eastAsiaTheme="minorEastAsia" w:cs="Times New Roman"/>
          <w:i/>
          <w:color w:val="404040" w:themeColor="text1" w:themeTint="BF"/>
          <w:szCs w:val="24"/>
        </w:rPr>
        <w:t>ompletion.</w:t>
      </w:r>
      <w:r w:rsidRPr="00310E66">
        <w:rPr>
          <w:rFonts w:eastAsiaTheme="minorEastAsia" w:cs="Times New Roman"/>
          <w:color w:val="404040" w:themeColor="text1" w:themeTint="BF"/>
          <w:szCs w:val="24"/>
        </w:rPr>
        <w:t xml:space="preserve"> Victoria, BC: BC Stats. </w:t>
      </w:r>
    </w:p>
    <w:p w14:paraId="0780A63E" w14:textId="77777777" w:rsidR="00F05E7E" w:rsidRPr="00310E66" w:rsidRDefault="00F05E7E" w:rsidP="00F05E7E">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Canadian Information Centre for International Credentials (CICIC). (2012). </w:t>
      </w:r>
      <w:r>
        <w:rPr>
          <w:rFonts w:eastAsiaTheme="minorEastAsia" w:cs="Times New Roman"/>
          <w:i/>
          <w:color w:val="404040" w:themeColor="text1" w:themeTint="BF"/>
          <w:szCs w:val="24"/>
        </w:rPr>
        <w:t>Pan-Canadian quality standards in international academic credential a</w:t>
      </w:r>
      <w:r w:rsidRPr="00310E66">
        <w:rPr>
          <w:rFonts w:eastAsiaTheme="minorEastAsia" w:cs="Times New Roman"/>
          <w:i/>
          <w:color w:val="404040" w:themeColor="text1" w:themeTint="BF"/>
          <w:szCs w:val="24"/>
        </w:rPr>
        <w:t>ssessment – Phase II: Final Report.</w:t>
      </w:r>
      <w:r w:rsidRPr="00310E66">
        <w:rPr>
          <w:rFonts w:eastAsiaTheme="minorEastAsia" w:cs="Times New Roman"/>
          <w:color w:val="404040" w:themeColor="text1" w:themeTint="BF"/>
          <w:szCs w:val="24"/>
        </w:rPr>
        <w:t xml:space="preserve"> Toronto, ON: Council of Ministers of Education. Retrieved from http://cicic.ca/docs/2012/Final_Report_Phase_II_EN.pdf</w:t>
      </w:r>
    </w:p>
    <w:p w14:paraId="418F25E4" w14:textId="0A00082A"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Canadian Millennium Scholarship Foundation. (2006). </w:t>
      </w:r>
      <w:r w:rsidR="00221C87">
        <w:rPr>
          <w:rFonts w:eastAsiaTheme="minorEastAsia" w:cs="Times New Roman"/>
          <w:i/>
          <w:color w:val="404040" w:themeColor="text1" w:themeTint="BF"/>
          <w:szCs w:val="24"/>
        </w:rPr>
        <w:t>Closing the access gap: Does information m</w:t>
      </w:r>
      <w:r w:rsidRPr="00310E66">
        <w:rPr>
          <w:rFonts w:eastAsiaTheme="minorEastAsia" w:cs="Times New Roman"/>
          <w:i/>
          <w:color w:val="404040" w:themeColor="text1" w:themeTint="BF"/>
          <w:szCs w:val="24"/>
        </w:rPr>
        <w:t>atter?</w:t>
      </w:r>
      <w:r w:rsidRPr="00310E66">
        <w:rPr>
          <w:rFonts w:eastAsiaTheme="minorEastAsia" w:cs="Times New Roman"/>
          <w:color w:val="404040" w:themeColor="text1" w:themeTint="BF"/>
          <w:szCs w:val="24"/>
        </w:rPr>
        <w:t xml:space="preserve"> Montreal, QC: Canadian Millennium Scholarship Foundation. </w:t>
      </w:r>
      <w:r w:rsidRPr="00310E66">
        <w:rPr>
          <w:rFonts w:eastAsiaTheme="minorEastAsia" w:cs="Times New Roman"/>
          <w:i/>
          <w:color w:val="404040" w:themeColor="text1" w:themeTint="BF"/>
          <w:szCs w:val="24"/>
        </w:rPr>
        <w:t xml:space="preserve"> </w:t>
      </w:r>
      <w:r w:rsidRPr="00310E66">
        <w:rPr>
          <w:rFonts w:eastAsiaTheme="minorEastAsia" w:cs="Times New Roman"/>
          <w:color w:val="404040" w:themeColor="text1" w:themeTint="BF"/>
          <w:szCs w:val="24"/>
        </w:rPr>
        <w:t>Retrieved from http://qspace.library.queensu.ca/bitstream/1974/5737/1/Closing_the_Access_Gap.pdf</w:t>
      </w:r>
    </w:p>
    <w:p w14:paraId="2BAD7345" w14:textId="3A9E34D5"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Canadian Millennium Scholarship Foundation. (2008). </w:t>
      </w:r>
      <w:r w:rsidR="00221C87">
        <w:rPr>
          <w:rFonts w:eastAsiaTheme="minorEastAsia" w:cs="Times New Roman"/>
          <w:i/>
          <w:color w:val="404040" w:themeColor="text1" w:themeTint="BF"/>
          <w:szCs w:val="24"/>
        </w:rPr>
        <w:t>Factors affecting the use of student financial assistance by First Nations y</w:t>
      </w:r>
      <w:r w:rsidRPr="00310E66">
        <w:rPr>
          <w:rFonts w:eastAsiaTheme="minorEastAsia" w:cs="Times New Roman"/>
          <w:i/>
          <w:color w:val="404040" w:themeColor="text1" w:themeTint="BF"/>
          <w:szCs w:val="24"/>
        </w:rPr>
        <w:t>outh</w:t>
      </w:r>
      <w:r w:rsidRPr="00310E66">
        <w:rPr>
          <w:rFonts w:eastAsiaTheme="minorEastAsia" w:cs="Times New Roman"/>
          <w:color w:val="404040" w:themeColor="text1" w:themeTint="BF"/>
          <w:szCs w:val="24"/>
        </w:rPr>
        <w:t>. Montreal, QC: Canadian Millennium Scholarship Foundation. Retrieved from http://www.library.carleton.ca/sites/default/files/find/data/surveys/pdf_files/millennium_rs-37_2008-06_en.pdf</w:t>
      </w:r>
    </w:p>
    <w:p w14:paraId="382BF6EF" w14:textId="7F1AD49C"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Canadian Millennium Scholarship Foundation. (2008). </w:t>
      </w:r>
      <w:r w:rsidR="00221C87">
        <w:rPr>
          <w:rFonts w:eastAsiaTheme="minorEastAsia" w:cs="Times New Roman"/>
          <w:i/>
          <w:color w:val="404040" w:themeColor="text1" w:themeTint="BF"/>
          <w:szCs w:val="24"/>
        </w:rPr>
        <w:t>Immigrant parents’ investments in their children’s p</w:t>
      </w:r>
      <w:r w:rsidRPr="00310E66">
        <w:rPr>
          <w:rFonts w:eastAsiaTheme="minorEastAsia" w:cs="Times New Roman"/>
          <w:i/>
          <w:color w:val="404040" w:themeColor="text1" w:themeTint="BF"/>
          <w:szCs w:val="24"/>
        </w:rPr>
        <w:t>o</w:t>
      </w:r>
      <w:r w:rsidR="00221C87">
        <w:rPr>
          <w:rFonts w:eastAsiaTheme="minorEastAsia" w:cs="Times New Roman"/>
          <w:i/>
          <w:color w:val="404040" w:themeColor="text1" w:themeTint="BF"/>
          <w:szCs w:val="24"/>
        </w:rPr>
        <w:t>st-secondary e</w:t>
      </w:r>
      <w:r w:rsidRPr="00310E66">
        <w:rPr>
          <w:rFonts w:eastAsiaTheme="minorEastAsia" w:cs="Times New Roman"/>
          <w:i/>
          <w:color w:val="404040" w:themeColor="text1" w:themeTint="BF"/>
          <w:szCs w:val="24"/>
        </w:rPr>
        <w:t>ducation.</w:t>
      </w:r>
      <w:r w:rsidRPr="00310E66">
        <w:rPr>
          <w:rFonts w:eastAsiaTheme="minorEastAsia" w:cs="Times New Roman"/>
          <w:color w:val="404040" w:themeColor="text1" w:themeTint="BF"/>
          <w:szCs w:val="24"/>
        </w:rPr>
        <w:t xml:space="preserve"> Montreal, QC: Canadian Millennium Scholarship Foundation. Retrieved from: http://www.library.carleton.ca/sites/default/files/find/data/surveys/pdf_files/millennium_rs-38_2008-11_en.pdf</w:t>
      </w:r>
    </w:p>
    <w:p w14:paraId="4AE51973" w14:textId="2F646CFD" w:rsidR="00310E66" w:rsidRPr="00310E66" w:rsidRDefault="00F05E7E" w:rsidP="00F05E7E">
      <w:pPr>
        <w:spacing w:after="360" w:line="240" w:lineRule="auto"/>
        <w:rPr>
          <w:rFonts w:eastAsiaTheme="minorEastAsia" w:cs="Times New Roman"/>
          <w:color w:val="404040" w:themeColor="text1" w:themeTint="BF"/>
          <w:szCs w:val="24"/>
        </w:rPr>
      </w:pPr>
      <w:r w:rsidRPr="00F05E7E">
        <w:rPr>
          <w:rFonts w:eastAsiaTheme="minorEastAsia" w:cs="Times New Roman"/>
          <w:color w:val="404040" w:themeColor="text1" w:themeTint="BF"/>
          <w:szCs w:val="24"/>
        </w:rPr>
        <w:t>Canadian Policy Research Networks for the Canada Millennium Scholarship Foundation. (2002). Access</w:t>
      </w:r>
      <w:r>
        <w:rPr>
          <w:rFonts w:eastAsiaTheme="minorEastAsia" w:cs="Times New Roman"/>
          <w:color w:val="404040" w:themeColor="text1" w:themeTint="BF"/>
          <w:szCs w:val="24"/>
        </w:rPr>
        <w:t xml:space="preserve"> </w:t>
      </w:r>
      <w:r w:rsidRPr="00F05E7E">
        <w:rPr>
          <w:rFonts w:eastAsiaTheme="minorEastAsia" w:cs="Times New Roman"/>
          <w:color w:val="404040" w:themeColor="text1" w:themeTint="BF"/>
          <w:szCs w:val="24"/>
        </w:rPr>
        <w:t>to post-secondary education in Canada: Facts and gaps. Ottawa: Canadian Policy Research Networks</w:t>
      </w:r>
      <w:r>
        <w:rPr>
          <w:rFonts w:eastAsiaTheme="minorEastAsia" w:cs="Times New Roman"/>
          <w:color w:val="404040" w:themeColor="text1" w:themeTint="BF"/>
          <w:szCs w:val="24"/>
        </w:rPr>
        <w:t xml:space="preserve">. </w:t>
      </w:r>
    </w:p>
    <w:p w14:paraId="520E407F" w14:textId="43435B64"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Cheung, S. (2007). </w:t>
      </w:r>
      <w:r w:rsidR="00221C87">
        <w:rPr>
          <w:rFonts w:eastAsiaTheme="minorEastAsia" w:cs="Times New Roman"/>
          <w:i/>
          <w:color w:val="404040" w:themeColor="text1" w:themeTint="BF"/>
          <w:szCs w:val="24"/>
        </w:rPr>
        <w:t>Education decisions of Canadian youth: A synthesis report on access to postsecondary e</w:t>
      </w:r>
      <w:r w:rsidRPr="00310E66">
        <w:rPr>
          <w:rFonts w:eastAsiaTheme="minorEastAsia" w:cs="Times New Roman"/>
          <w:i/>
          <w:color w:val="404040" w:themeColor="text1" w:themeTint="BF"/>
          <w:szCs w:val="24"/>
        </w:rPr>
        <w:t xml:space="preserve">ducation. </w:t>
      </w:r>
      <w:r w:rsidRPr="00310E66">
        <w:rPr>
          <w:rFonts w:eastAsiaTheme="minorEastAsia" w:cs="Times New Roman"/>
          <w:color w:val="404040" w:themeColor="text1" w:themeTint="BF"/>
          <w:szCs w:val="24"/>
        </w:rPr>
        <w:t>Toronto, ON: Higher Education Quality Council of Ontario (HEQCO). Retrieved from http://www.yorku.ca/pathways/literature/Access/Educational%20Decisions%20of%20Canadian%20Youth%20HEQC.pdf</w:t>
      </w:r>
    </w:p>
    <w:p w14:paraId="07CD1B50" w14:textId="23EE43B8"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Colleges Ontario. (2013). </w:t>
      </w:r>
      <w:r w:rsidR="00221C87">
        <w:rPr>
          <w:rFonts w:eastAsiaTheme="minorEastAsia" w:cs="Times New Roman"/>
          <w:i/>
          <w:color w:val="404040" w:themeColor="text1" w:themeTint="BF"/>
          <w:szCs w:val="24"/>
        </w:rPr>
        <w:t>Student and graduate profiles: Environmental s</w:t>
      </w:r>
      <w:r w:rsidRPr="00310E66">
        <w:rPr>
          <w:rFonts w:eastAsiaTheme="minorEastAsia" w:cs="Times New Roman"/>
          <w:i/>
          <w:color w:val="404040" w:themeColor="text1" w:themeTint="BF"/>
          <w:szCs w:val="24"/>
        </w:rPr>
        <w:t>can 2013.</w:t>
      </w:r>
      <w:r w:rsidRPr="00310E66">
        <w:rPr>
          <w:rFonts w:eastAsiaTheme="minorEastAsia" w:cs="Times New Roman"/>
          <w:color w:val="404040" w:themeColor="text1" w:themeTint="BF"/>
          <w:szCs w:val="24"/>
        </w:rPr>
        <w:t xml:space="preserve"> Retrieved from </w:t>
      </w:r>
      <w:hyperlink r:id="rId10" w:history="1">
        <w:r w:rsidRPr="00310E66">
          <w:rPr>
            <w:rFonts w:eastAsiaTheme="minorEastAsia" w:cs="Times New Roman"/>
            <w:color w:val="404040" w:themeColor="text1" w:themeTint="BF"/>
            <w:szCs w:val="24"/>
          </w:rPr>
          <w:t>http://www.collegesontario.org/research/2013_environmental_scan/CO_EnvScan_12_Stu&amp;GradProfiles_WEB.pdf</w:t>
        </w:r>
      </w:hyperlink>
      <w:r w:rsidRPr="00310E66">
        <w:rPr>
          <w:rFonts w:eastAsiaTheme="minorEastAsia" w:cs="Times New Roman"/>
          <w:color w:val="404040" w:themeColor="text1" w:themeTint="BF"/>
          <w:szCs w:val="24"/>
        </w:rPr>
        <w:t xml:space="preserve">  </w:t>
      </w:r>
    </w:p>
    <w:p w14:paraId="629D7100" w14:textId="25E497C1"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College Sector Committee for Adult Upgrading. (2010). </w:t>
      </w:r>
      <w:r w:rsidR="00221C87">
        <w:rPr>
          <w:rFonts w:eastAsiaTheme="minorEastAsia" w:cs="Times New Roman"/>
          <w:i/>
          <w:iCs/>
          <w:color w:val="404040" w:themeColor="text1" w:themeTint="BF"/>
          <w:szCs w:val="24"/>
        </w:rPr>
        <w:t>Prepared for success 2008-2009: A study of the success of adult upgrading graduates in the f</w:t>
      </w:r>
      <w:r w:rsidRPr="00310E66">
        <w:rPr>
          <w:rFonts w:eastAsiaTheme="minorEastAsia" w:cs="Times New Roman"/>
          <w:i/>
          <w:iCs/>
          <w:color w:val="404040" w:themeColor="text1" w:themeTint="BF"/>
          <w:szCs w:val="24"/>
        </w:rPr>
        <w:t>irs</w:t>
      </w:r>
      <w:r w:rsidR="00221C87">
        <w:rPr>
          <w:rFonts w:eastAsiaTheme="minorEastAsia" w:cs="Times New Roman"/>
          <w:i/>
          <w:iCs/>
          <w:color w:val="404040" w:themeColor="text1" w:themeTint="BF"/>
          <w:szCs w:val="24"/>
        </w:rPr>
        <w:t>t semester of postsecondary p</w:t>
      </w:r>
      <w:r w:rsidRPr="00310E66">
        <w:rPr>
          <w:rFonts w:eastAsiaTheme="minorEastAsia" w:cs="Times New Roman"/>
          <w:i/>
          <w:iCs/>
          <w:color w:val="404040" w:themeColor="text1" w:themeTint="BF"/>
          <w:szCs w:val="24"/>
        </w:rPr>
        <w:t xml:space="preserve">rograms. </w:t>
      </w:r>
      <w:r w:rsidRPr="00310E66">
        <w:rPr>
          <w:rFonts w:eastAsiaTheme="minorEastAsia" w:cs="Times New Roman"/>
          <w:color w:val="404040" w:themeColor="text1" w:themeTint="BF"/>
          <w:szCs w:val="24"/>
        </w:rPr>
        <w:t>Retrieved from http://www.collegeupgradingon.ca/pubres/prepared09-10.pdf</w:t>
      </w:r>
    </w:p>
    <w:p w14:paraId="4D04FBE5" w14:textId="30B299CB"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Community Adult Learning Program. (2011). </w:t>
      </w:r>
      <w:r w:rsidR="00221C87">
        <w:rPr>
          <w:rFonts w:eastAsiaTheme="minorEastAsia" w:cs="Times New Roman"/>
          <w:i/>
          <w:color w:val="404040" w:themeColor="text1" w:themeTint="BF"/>
          <w:szCs w:val="24"/>
        </w:rPr>
        <w:t>2011 Report to p</w:t>
      </w:r>
      <w:r w:rsidRPr="00310E66">
        <w:rPr>
          <w:rFonts w:eastAsiaTheme="minorEastAsia" w:cs="Times New Roman"/>
          <w:i/>
          <w:color w:val="404040" w:themeColor="text1" w:themeTint="BF"/>
          <w:szCs w:val="24"/>
        </w:rPr>
        <w:t xml:space="preserve">artners. </w:t>
      </w:r>
      <w:r w:rsidRPr="00310E66">
        <w:rPr>
          <w:rFonts w:eastAsiaTheme="minorEastAsia" w:cs="Times New Roman"/>
          <w:color w:val="404040" w:themeColor="text1" w:themeTint="BF"/>
          <w:szCs w:val="24"/>
        </w:rPr>
        <w:t>Alberta, ON:</w:t>
      </w:r>
      <w:r w:rsidRPr="00310E66">
        <w:rPr>
          <w:rFonts w:eastAsiaTheme="minorEastAsia" w:cs="Times New Roman"/>
          <w:i/>
          <w:color w:val="404040" w:themeColor="text1" w:themeTint="BF"/>
          <w:szCs w:val="24"/>
        </w:rPr>
        <w:t xml:space="preserve"> </w:t>
      </w:r>
      <w:r w:rsidRPr="00310E66">
        <w:rPr>
          <w:rFonts w:eastAsiaTheme="minorEastAsia" w:cs="Times New Roman"/>
          <w:color w:val="404040" w:themeColor="text1" w:themeTint="BF"/>
          <w:szCs w:val="24"/>
        </w:rPr>
        <w:lastRenderedPageBreak/>
        <w:t xml:space="preserve">Government of Alberta, Ministry of Advanced Education.  Retrieved from </w:t>
      </w:r>
      <w:hyperlink r:id="rId11" w:history="1">
        <w:r w:rsidRPr="00310E66">
          <w:rPr>
            <w:rFonts w:eastAsiaTheme="minorEastAsia" w:cs="Times New Roman"/>
            <w:color w:val="404040" w:themeColor="text1" w:themeTint="BF"/>
            <w:szCs w:val="24"/>
          </w:rPr>
          <w:t>http://eae.alberta.ca/media/371650/2011calpreport.pdf</w:t>
        </w:r>
      </w:hyperlink>
    </w:p>
    <w:p w14:paraId="53405370" w14:textId="69A09D43" w:rsidR="00310E66" w:rsidRPr="00310E66" w:rsidRDefault="00310E66" w:rsidP="00310E66">
      <w:pPr>
        <w:spacing w:after="360" w:line="240" w:lineRule="auto"/>
        <w:rPr>
          <w:rFonts w:eastAsia="Times New Roman" w:cs="Times New Roman"/>
          <w:color w:val="404040" w:themeColor="text1" w:themeTint="BF"/>
          <w:szCs w:val="24"/>
        </w:rPr>
      </w:pPr>
      <w:proofErr w:type="spellStart"/>
      <w:r w:rsidRPr="00310E66">
        <w:rPr>
          <w:rFonts w:eastAsia="Times New Roman" w:cs="Times New Roman"/>
          <w:color w:val="404040" w:themeColor="text1" w:themeTint="BF"/>
          <w:szCs w:val="24"/>
        </w:rPr>
        <w:t>Constantineau</w:t>
      </w:r>
      <w:proofErr w:type="spellEnd"/>
      <w:r w:rsidRPr="00310E66">
        <w:rPr>
          <w:rFonts w:eastAsia="Times New Roman" w:cs="Times New Roman"/>
          <w:color w:val="404040" w:themeColor="text1" w:themeTint="BF"/>
          <w:szCs w:val="24"/>
        </w:rPr>
        <w:t xml:space="preserve">, P. (2009). </w:t>
      </w:r>
      <w:r w:rsidR="00221C87">
        <w:rPr>
          <w:rFonts w:eastAsia="Times New Roman" w:cs="Times New Roman"/>
          <w:i/>
          <w:color w:val="404040" w:themeColor="text1" w:themeTint="BF"/>
          <w:szCs w:val="24"/>
        </w:rPr>
        <w:t>The Ontario t</w:t>
      </w:r>
      <w:r w:rsidR="00A10083">
        <w:rPr>
          <w:rFonts w:eastAsia="Times New Roman" w:cs="Times New Roman"/>
          <w:i/>
          <w:color w:val="404040" w:themeColor="text1" w:themeTint="BF"/>
          <w:szCs w:val="24"/>
        </w:rPr>
        <w:t>ransfer credit system: A situation r</w:t>
      </w:r>
      <w:r w:rsidRPr="00310E66">
        <w:rPr>
          <w:rFonts w:eastAsia="Times New Roman" w:cs="Times New Roman"/>
          <w:i/>
          <w:color w:val="404040" w:themeColor="text1" w:themeTint="BF"/>
          <w:szCs w:val="24"/>
        </w:rPr>
        <w:t xml:space="preserve">eport. </w:t>
      </w:r>
      <w:r w:rsidRPr="00310E66">
        <w:rPr>
          <w:rFonts w:eastAsia="Times New Roman" w:cs="Times New Roman"/>
          <w:color w:val="404040" w:themeColor="text1" w:themeTint="BF"/>
          <w:szCs w:val="24"/>
        </w:rPr>
        <w:t>(COU No. 817). Ontario:</w:t>
      </w:r>
      <w:r w:rsidRPr="00310E66">
        <w:rPr>
          <w:rFonts w:eastAsia="Times New Roman" w:cs="Times New Roman"/>
          <w:i/>
          <w:color w:val="404040" w:themeColor="text1" w:themeTint="BF"/>
          <w:szCs w:val="24"/>
        </w:rPr>
        <w:t xml:space="preserve"> </w:t>
      </w:r>
      <w:r w:rsidRPr="00310E66">
        <w:rPr>
          <w:rFonts w:eastAsia="Times New Roman" w:cs="Times New Roman"/>
          <w:color w:val="404040" w:themeColor="text1" w:themeTint="BF"/>
          <w:szCs w:val="24"/>
        </w:rPr>
        <w:t xml:space="preserve">Council of Ontario Universities. Retrieved from: </w:t>
      </w:r>
      <w:hyperlink r:id="rId12" w:history="1">
        <w:r w:rsidRPr="00310E66">
          <w:rPr>
            <w:rFonts w:eastAsia="Times New Roman" w:cs="Times New Roman"/>
            <w:color w:val="404040" w:themeColor="text1" w:themeTint="BF"/>
            <w:szCs w:val="24"/>
          </w:rPr>
          <w:t>http://www.cou.on.ca/publications/reports/pdfs/the-ontario-credit-transfer-system---a-situation-r</w:t>
        </w:r>
      </w:hyperlink>
    </w:p>
    <w:p w14:paraId="65CDC1F5" w14:textId="4D2E0097"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Council of Ministers of Education Canada (CMEC). (2003). </w:t>
      </w:r>
      <w:r w:rsidR="00A10083">
        <w:rPr>
          <w:rFonts w:eastAsiaTheme="minorEastAsia" w:cs="Times New Roman"/>
          <w:i/>
          <w:color w:val="404040" w:themeColor="text1" w:themeTint="BF"/>
          <w:szCs w:val="24"/>
        </w:rPr>
        <w:t>Access, inclusion and achievement: Closing the gap. Country r</w:t>
      </w:r>
      <w:r w:rsidRPr="00310E66">
        <w:rPr>
          <w:rFonts w:eastAsiaTheme="minorEastAsia" w:cs="Times New Roman"/>
          <w:i/>
          <w:color w:val="404040" w:themeColor="text1" w:themeTint="BF"/>
          <w:szCs w:val="24"/>
        </w:rPr>
        <w:t xml:space="preserve">esponse: Canada. </w:t>
      </w:r>
      <w:r w:rsidRPr="00310E66">
        <w:rPr>
          <w:rFonts w:eastAsiaTheme="minorEastAsia" w:cs="Times New Roman"/>
          <w:color w:val="404040" w:themeColor="text1" w:themeTint="BF"/>
          <w:szCs w:val="24"/>
        </w:rPr>
        <w:t>Submission to the</w:t>
      </w:r>
      <w:r w:rsidRPr="00310E66">
        <w:rPr>
          <w:rFonts w:eastAsiaTheme="minorEastAsia" w:cs="Times New Roman"/>
          <w:i/>
          <w:color w:val="404040" w:themeColor="text1" w:themeTint="BF"/>
          <w:szCs w:val="24"/>
        </w:rPr>
        <w:t xml:space="preserve"> </w:t>
      </w:r>
      <w:r w:rsidRPr="00310E66">
        <w:rPr>
          <w:rFonts w:eastAsiaTheme="minorEastAsia" w:cs="Times New Roman"/>
          <w:color w:val="404040" w:themeColor="text1" w:themeTint="BF"/>
          <w:szCs w:val="24"/>
        </w:rPr>
        <w:t>Fifteenth Commonwealth Conference of Education Ministers, Edinburgh, Scotland. Ottawa, ON: Canada: Council of Ministers of Education Canada. Retrieved from http://www.cmec.ca/9/Publications/index.html?searchCat=24</w:t>
      </w:r>
    </w:p>
    <w:p w14:paraId="2196BEC7" w14:textId="14FF0CD9" w:rsid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Council of Ontario Universities. (2001). </w:t>
      </w:r>
      <w:r w:rsidR="00A10083">
        <w:rPr>
          <w:rFonts w:eastAsiaTheme="minorEastAsia" w:cs="Times New Roman"/>
          <w:i/>
          <w:color w:val="404040" w:themeColor="text1" w:themeTint="BF"/>
          <w:szCs w:val="24"/>
        </w:rPr>
        <w:t>Access to education: A progress report on Ontario u</w:t>
      </w:r>
      <w:r w:rsidRPr="00310E66">
        <w:rPr>
          <w:rFonts w:eastAsiaTheme="minorEastAsia" w:cs="Times New Roman"/>
          <w:i/>
          <w:color w:val="404040" w:themeColor="text1" w:themeTint="BF"/>
          <w:szCs w:val="24"/>
        </w:rPr>
        <w:t>niversities.</w:t>
      </w:r>
      <w:r w:rsidRPr="00310E66">
        <w:rPr>
          <w:rFonts w:eastAsiaTheme="minorEastAsia" w:cs="Times New Roman"/>
          <w:color w:val="404040" w:themeColor="text1" w:themeTint="BF"/>
          <w:szCs w:val="24"/>
        </w:rPr>
        <w:t xml:space="preserve"> Retrieved from: http://cou.on.ca/publications/reports/pdfs/access-to-excellence--a-progress-report-from-ontar</w:t>
      </w:r>
    </w:p>
    <w:p w14:paraId="2F21ABEA" w14:textId="35FD0CFE"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Deller, F., &amp; </w:t>
      </w:r>
      <w:proofErr w:type="spellStart"/>
      <w:r w:rsidRPr="00310E66">
        <w:rPr>
          <w:rFonts w:eastAsiaTheme="minorEastAsia" w:cs="Times New Roman"/>
          <w:color w:val="404040" w:themeColor="text1" w:themeTint="BF"/>
          <w:szCs w:val="24"/>
        </w:rPr>
        <w:t>Oldford</w:t>
      </w:r>
      <w:proofErr w:type="spellEnd"/>
      <w:r w:rsidRPr="00310E66">
        <w:rPr>
          <w:rFonts w:eastAsiaTheme="minorEastAsia" w:cs="Times New Roman"/>
          <w:color w:val="404040" w:themeColor="text1" w:themeTint="BF"/>
          <w:szCs w:val="24"/>
        </w:rPr>
        <w:t xml:space="preserve">, S. (2011). </w:t>
      </w:r>
      <w:r w:rsidR="00A10083">
        <w:rPr>
          <w:rFonts w:eastAsiaTheme="minorEastAsia" w:cs="Times New Roman"/>
          <w:i/>
          <w:color w:val="404040" w:themeColor="text1" w:themeTint="BF"/>
          <w:szCs w:val="24"/>
        </w:rPr>
        <w:t>Participation of low-income s</w:t>
      </w:r>
      <w:r w:rsidRPr="00310E66">
        <w:rPr>
          <w:rFonts w:eastAsiaTheme="minorEastAsia" w:cs="Times New Roman"/>
          <w:i/>
          <w:color w:val="404040" w:themeColor="text1" w:themeTint="BF"/>
          <w:szCs w:val="24"/>
        </w:rPr>
        <w:t>tudents in Ontario</w:t>
      </w:r>
      <w:r w:rsidRPr="00310E66">
        <w:rPr>
          <w:rFonts w:eastAsiaTheme="minorEastAsia" w:cs="Times New Roman"/>
          <w:color w:val="404040" w:themeColor="text1" w:themeTint="BF"/>
          <w:szCs w:val="24"/>
        </w:rPr>
        <w:t xml:space="preserve"> (Issue Paper No. 11.) Toronto, ON: Higher Education Quality Council of Ontario. Retrieved from http://www.heqco.ca/SiteCollectionDocuments/AtIssue_Low-IncomeStudents%20ENG.pdf</w:t>
      </w:r>
    </w:p>
    <w:p w14:paraId="39CCFEC2" w14:textId="6C9B20FD" w:rsidR="00310E66" w:rsidRPr="00310E66" w:rsidRDefault="00310E66" w:rsidP="00310E66">
      <w:pPr>
        <w:spacing w:after="360" w:line="240" w:lineRule="auto"/>
        <w:rPr>
          <w:rFonts w:eastAsiaTheme="minorEastAsia" w:cs="Times New Roman"/>
          <w:bCs/>
          <w:color w:val="404040" w:themeColor="text1" w:themeTint="BF"/>
          <w:szCs w:val="24"/>
        </w:rPr>
      </w:pPr>
      <w:r w:rsidRPr="00310E66">
        <w:rPr>
          <w:rFonts w:eastAsiaTheme="minorEastAsia" w:cs="Times New Roman"/>
          <w:bCs/>
          <w:color w:val="404040" w:themeColor="text1" w:themeTint="BF"/>
          <w:szCs w:val="24"/>
        </w:rPr>
        <w:t xml:space="preserve">Deller, F., &amp; Tomas, S. (2013). </w:t>
      </w:r>
      <w:r w:rsidR="00A10083">
        <w:rPr>
          <w:rFonts w:eastAsiaTheme="minorEastAsia" w:cs="Times New Roman"/>
          <w:bCs/>
          <w:i/>
          <w:color w:val="404040" w:themeColor="text1" w:themeTint="BF"/>
          <w:szCs w:val="24"/>
        </w:rPr>
        <w:t>Strategies for supporting youth education: A snapshot of early intervention p</w:t>
      </w:r>
      <w:r w:rsidRPr="00310E66">
        <w:rPr>
          <w:rFonts w:eastAsiaTheme="minorEastAsia" w:cs="Times New Roman"/>
          <w:bCs/>
          <w:i/>
          <w:color w:val="404040" w:themeColor="text1" w:themeTint="BF"/>
          <w:szCs w:val="24"/>
        </w:rPr>
        <w:t>rograms in Ontario.</w:t>
      </w:r>
      <w:r w:rsidRPr="00310E66">
        <w:rPr>
          <w:rFonts w:eastAsiaTheme="minorEastAsia" w:cs="Times New Roman"/>
          <w:bCs/>
          <w:color w:val="404040" w:themeColor="text1" w:themeTint="BF"/>
          <w:szCs w:val="24"/>
        </w:rPr>
        <w:t xml:space="preserve"> </w:t>
      </w:r>
      <w:r w:rsidRPr="00310E66">
        <w:rPr>
          <w:rFonts w:eastAsiaTheme="minorEastAsia" w:cs="Times New Roman"/>
          <w:color w:val="404040" w:themeColor="text1" w:themeTint="BF"/>
          <w:szCs w:val="24"/>
        </w:rPr>
        <w:t xml:space="preserve">Toronto, ON: Higher Education Quality Council of Ontario. </w:t>
      </w:r>
      <w:r w:rsidRPr="00310E66">
        <w:rPr>
          <w:rFonts w:eastAsiaTheme="minorEastAsia" w:cs="Times New Roman"/>
          <w:bCs/>
          <w:color w:val="404040" w:themeColor="text1" w:themeTint="BF"/>
          <w:szCs w:val="24"/>
        </w:rPr>
        <w:t xml:space="preserve">Retrieved from </w:t>
      </w:r>
      <w:hyperlink r:id="rId13" w:history="1">
        <w:r w:rsidRPr="00310E66">
          <w:rPr>
            <w:rFonts w:eastAsiaTheme="minorEastAsia" w:cs="Times New Roman"/>
            <w:bCs/>
            <w:color w:val="404040" w:themeColor="text1" w:themeTint="BF"/>
            <w:szCs w:val="24"/>
          </w:rPr>
          <w:t>http://www.heqco.ca/SiteCollectionDocuments/Early%20Interventions_ENG.pdf</w:t>
        </w:r>
      </w:hyperlink>
      <w:r w:rsidRPr="00310E66">
        <w:rPr>
          <w:rFonts w:eastAsiaTheme="minorEastAsia" w:cs="Times New Roman"/>
          <w:bCs/>
          <w:color w:val="404040" w:themeColor="text1" w:themeTint="BF"/>
          <w:szCs w:val="24"/>
        </w:rPr>
        <w:t xml:space="preserve"> </w:t>
      </w:r>
    </w:p>
    <w:p w14:paraId="08562EA6" w14:textId="77777777" w:rsidR="00310E66" w:rsidRPr="00310E66" w:rsidRDefault="00310E66" w:rsidP="00310E66">
      <w:pPr>
        <w:spacing w:after="360" w:line="240" w:lineRule="auto"/>
        <w:rPr>
          <w:rFonts w:eastAsia="Times New Roman" w:cs="Times New Roman"/>
          <w:color w:val="404040" w:themeColor="text1" w:themeTint="BF"/>
          <w:szCs w:val="24"/>
        </w:rPr>
      </w:pPr>
      <w:r w:rsidRPr="00310E66">
        <w:rPr>
          <w:rFonts w:eastAsia="Times New Roman" w:cs="Times New Roman"/>
          <w:color w:val="404040" w:themeColor="text1" w:themeTint="BF"/>
          <w:szCs w:val="24"/>
        </w:rPr>
        <w:t xml:space="preserve">Dougherty, K. J., &amp; </w:t>
      </w:r>
      <w:proofErr w:type="spellStart"/>
      <w:r w:rsidRPr="00310E66">
        <w:rPr>
          <w:rFonts w:eastAsia="Times New Roman" w:cs="Times New Roman"/>
          <w:color w:val="404040" w:themeColor="text1" w:themeTint="BF"/>
          <w:szCs w:val="24"/>
        </w:rPr>
        <w:t>Natow</w:t>
      </w:r>
      <w:proofErr w:type="spellEnd"/>
      <w:r w:rsidRPr="00310E66">
        <w:rPr>
          <w:rFonts w:eastAsia="Times New Roman" w:cs="Times New Roman"/>
          <w:color w:val="404040" w:themeColor="text1" w:themeTint="BF"/>
          <w:szCs w:val="24"/>
        </w:rPr>
        <w:t xml:space="preserve">, R. S. (2009). </w:t>
      </w:r>
      <w:r w:rsidRPr="00310E66">
        <w:rPr>
          <w:rFonts w:eastAsia="Times New Roman" w:cs="Times New Roman"/>
          <w:i/>
          <w:color w:val="404040" w:themeColor="text1" w:themeTint="BF"/>
          <w:szCs w:val="24"/>
        </w:rPr>
        <w:t xml:space="preserve">The demise of higher education performance funding systems in three states. </w:t>
      </w:r>
      <w:r w:rsidRPr="00310E66">
        <w:rPr>
          <w:rFonts w:eastAsia="Times New Roman" w:cs="Times New Roman"/>
          <w:color w:val="404040" w:themeColor="text1" w:themeTint="BF"/>
          <w:szCs w:val="24"/>
        </w:rPr>
        <w:t xml:space="preserve">New York, NY: Community College Research Centre. Retrieved from: </w:t>
      </w:r>
      <w:hyperlink r:id="rId14" w:history="1">
        <w:r w:rsidRPr="00310E66">
          <w:rPr>
            <w:rFonts w:eastAsia="Times New Roman" w:cs="Times New Roman"/>
            <w:color w:val="0000FF" w:themeColor="hyperlink"/>
            <w:szCs w:val="24"/>
            <w:u w:val="single"/>
          </w:rPr>
          <w:t>http://academiccommons.columbia.edu/catalog/ac:144991</w:t>
        </w:r>
      </w:hyperlink>
    </w:p>
    <w:p w14:paraId="6D48456F" w14:textId="139A3E60"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Finnie, R., Childs, S., &amp; Qiu, T. (2010). </w:t>
      </w:r>
      <w:r w:rsidR="00A10083">
        <w:rPr>
          <w:rFonts w:eastAsiaTheme="minorEastAsia" w:cs="Times New Roman"/>
          <w:i/>
          <w:color w:val="404040" w:themeColor="text1" w:themeTint="BF"/>
          <w:szCs w:val="24"/>
        </w:rPr>
        <w:t>The patterns of persistence in post-secondary education among college students in Ontario: New evidence from longitudinal d</w:t>
      </w:r>
      <w:r w:rsidRPr="00310E66">
        <w:rPr>
          <w:rFonts w:eastAsiaTheme="minorEastAsia" w:cs="Times New Roman"/>
          <w:i/>
          <w:color w:val="404040" w:themeColor="text1" w:themeTint="BF"/>
          <w:szCs w:val="24"/>
        </w:rPr>
        <w:t>ata.</w:t>
      </w:r>
      <w:r w:rsidRPr="00310E66">
        <w:rPr>
          <w:rFonts w:eastAsiaTheme="minorEastAsia" w:cs="Times New Roman"/>
          <w:color w:val="404040" w:themeColor="text1" w:themeTint="BF"/>
          <w:szCs w:val="24"/>
        </w:rPr>
        <w:t xml:space="preserve"> Ontario: Colleges Ontario. Retrieved from: </w:t>
      </w:r>
      <w:hyperlink r:id="rId15" w:history="1">
        <w:r w:rsidRPr="00310E66">
          <w:rPr>
            <w:rFonts w:eastAsiaTheme="minorEastAsia" w:cs="Times New Roman"/>
            <w:color w:val="404040" w:themeColor="text1" w:themeTint="BF"/>
            <w:szCs w:val="24"/>
          </w:rPr>
          <w:t>http://www.collegesontario.org/research/student_retention_presentations/report_patterns_of_persistence_ontario.pdf</w:t>
        </w:r>
      </w:hyperlink>
      <w:r w:rsidRPr="00310E66">
        <w:rPr>
          <w:rFonts w:eastAsiaTheme="minorEastAsia" w:cs="Times New Roman"/>
          <w:color w:val="404040" w:themeColor="text1" w:themeTint="BF"/>
          <w:szCs w:val="24"/>
        </w:rPr>
        <w:t xml:space="preserve"> </w:t>
      </w:r>
    </w:p>
    <w:p w14:paraId="089C96D5" w14:textId="604B6B68"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Finnie, R., Childs, S., &amp; Qiu, T. (2012). </w:t>
      </w:r>
      <w:r w:rsidR="00A10083">
        <w:rPr>
          <w:rFonts w:eastAsiaTheme="minorEastAsia" w:cs="Times New Roman"/>
          <w:i/>
          <w:color w:val="404040" w:themeColor="text1" w:themeTint="BF"/>
          <w:szCs w:val="24"/>
        </w:rPr>
        <w:t>Patterns of persistence in postsecondary e</w:t>
      </w:r>
      <w:r w:rsidRPr="00310E66">
        <w:rPr>
          <w:rFonts w:eastAsiaTheme="minorEastAsia" w:cs="Times New Roman"/>
          <w:i/>
          <w:color w:val="404040" w:themeColor="text1" w:themeTint="BF"/>
          <w:szCs w:val="24"/>
        </w:rPr>
        <w:t>ducati</w:t>
      </w:r>
      <w:r w:rsidR="00A10083">
        <w:rPr>
          <w:rFonts w:eastAsiaTheme="minorEastAsia" w:cs="Times New Roman"/>
          <w:i/>
          <w:color w:val="404040" w:themeColor="text1" w:themeTint="BF"/>
          <w:szCs w:val="24"/>
        </w:rPr>
        <w:t>on: New e</w:t>
      </w:r>
      <w:r w:rsidRPr="00310E66">
        <w:rPr>
          <w:rFonts w:eastAsiaTheme="minorEastAsia" w:cs="Times New Roman"/>
          <w:i/>
          <w:color w:val="404040" w:themeColor="text1" w:themeTint="BF"/>
          <w:szCs w:val="24"/>
        </w:rPr>
        <w:t>vidence for Ontario.</w:t>
      </w:r>
      <w:r w:rsidRPr="00310E66">
        <w:rPr>
          <w:rFonts w:eastAsiaTheme="minorEastAsia" w:cs="Times New Roman"/>
          <w:color w:val="404040" w:themeColor="text1" w:themeTint="BF"/>
          <w:szCs w:val="24"/>
        </w:rPr>
        <w:t xml:space="preserve"> Toronto, ON: Higher Education Quality Council of Ontario</w:t>
      </w:r>
    </w:p>
    <w:p w14:paraId="7A53253E" w14:textId="05FEE2A7"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Finnie, R., Childs, S., &amp; </w:t>
      </w:r>
      <w:proofErr w:type="spellStart"/>
      <w:r w:rsidRPr="00310E66">
        <w:rPr>
          <w:rFonts w:eastAsiaTheme="minorEastAsia" w:cs="Times New Roman"/>
          <w:color w:val="404040" w:themeColor="text1" w:themeTint="BF"/>
          <w:szCs w:val="24"/>
        </w:rPr>
        <w:t>Wismer</w:t>
      </w:r>
      <w:proofErr w:type="spellEnd"/>
      <w:r w:rsidRPr="00310E66">
        <w:rPr>
          <w:rFonts w:eastAsiaTheme="minorEastAsia" w:cs="Times New Roman"/>
          <w:color w:val="404040" w:themeColor="text1" w:themeTint="BF"/>
          <w:szCs w:val="24"/>
        </w:rPr>
        <w:t xml:space="preserve">, A. (2011). </w:t>
      </w:r>
      <w:r w:rsidR="00A10083">
        <w:rPr>
          <w:rFonts w:eastAsiaTheme="minorEastAsia" w:cs="Times New Roman"/>
          <w:i/>
          <w:color w:val="404040" w:themeColor="text1" w:themeTint="BF"/>
          <w:szCs w:val="24"/>
        </w:rPr>
        <w:t>Under-represented groups in post-secondary e</w:t>
      </w:r>
      <w:r w:rsidRPr="00310E66">
        <w:rPr>
          <w:rFonts w:eastAsiaTheme="minorEastAsia" w:cs="Times New Roman"/>
          <w:i/>
          <w:color w:val="404040" w:themeColor="text1" w:themeTint="BF"/>
          <w:szCs w:val="24"/>
        </w:rPr>
        <w:t>ducation in Ont</w:t>
      </w:r>
      <w:r w:rsidR="00A10083">
        <w:rPr>
          <w:rFonts w:eastAsiaTheme="minorEastAsia" w:cs="Times New Roman"/>
          <w:i/>
          <w:color w:val="404040" w:themeColor="text1" w:themeTint="BF"/>
          <w:szCs w:val="24"/>
        </w:rPr>
        <w:t>ario: Evidence from the YITS-A d</w:t>
      </w:r>
      <w:r w:rsidRPr="00310E66">
        <w:rPr>
          <w:rFonts w:eastAsiaTheme="minorEastAsia" w:cs="Times New Roman"/>
          <w:i/>
          <w:color w:val="404040" w:themeColor="text1" w:themeTint="BF"/>
          <w:szCs w:val="24"/>
        </w:rPr>
        <w:t>ataset</w:t>
      </w:r>
      <w:r w:rsidRPr="00310E66">
        <w:rPr>
          <w:rFonts w:eastAsiaTheme="minorEastAsia" w:cs="Times New Roman"/>
          <w:color w:val="404040" w:themeColor="text1" w:themeTint="BF"/>
          <w:szCs w:val="24"/>
        </w:rPr>
        <w:t>. Toronto, ON: Higher Education Quality Council of Ontario.</w:t>
      </w:r>
    </w:p>
    <w:p w14:paraId="62C8C0BF" w14:textId="77777777" w:rsidR="00310E66" w:rsidRPr="00310E66" w:rsidRDefault="00310E66" w:rsidP="00310E66">
      <w:pPr>
        <w:spacing w:after="360" w:line="240" w:lineRule="auto"/>
        <w:rPr>
          <w:rFonts w:eastAsia="Times New Roman" w:cs="Times New Roman"/>
          <w:color w:val="404040" w:themeColor="text1" w:themeTint="BF"/>
          <w:szCs w:val="24"/>
        </w:rPr>
      </w:pPr>
      <w:r w:rsidRPr="00310E66">
        <w:rPr>
          <w:rFonts w:eastAsia="Times New Roman" w:cs="Times New Roman"/>
          <w:color w:val="404040" w:themeColor="text1" w:themeTint="BF"/>
          <w:szCs w:val="24"/>
        </w:rPr>
        <w:lastRenderedPageBreak/>
        <w:t xml:space="preserve">Finnie, R., Laporte, C. &amp; </w:t>
      </w:r>
      <w:proofErr w:type="spellStart"/>
      <w:r w:rsidRPr="00310E66">
        <w:rPr>
          <w:rFonts w:eastAsia="Times New Roman" w:cs="Times New Roman"/>
          <w:color w:val="404040" w:themeColor="text1" w:themeTint="BF"/>
          <w:szCs w:val="24"/>
        </w:rPr>
        <w:t>Lascellas</w:t>
      </w:r>
      <w:proofErr w:type="spellEnd"/>
      <w:r w:rsidRPr="00310E66">
        <w:rPr>
          <w:rFonts w:eastAsia="Times New Roman" w:cs="Times New Roman"/>
          <w:color w:val="404040" w:themeColor="text1" w:themeTint="BF"/>
          <w:szCs w:val="24"/>
        </w:rPr>
        <w:t xml:space="preserve">, E. (2004). </w:t>
      </w:r>
      <w:r w:rsidRPr="00310E66">
        <w:rPr>
          <w:rFonts w:eastAsia="Times New Roman" w:cs="Times New Roman"/>
          <w:i/>
          <w:color w:val="404040" w:themeColor="text1" w:themeTint="BF"/>
          <w:szCs w:val="24"/>
        </w:rPr>
        <w:t>Family background and access to postsecondary education: What happened over the 1990s?</w:t>
      </w:r>
      <w:r w:rsidRPr="00310E66">
        <w:rPr>
          <w:rFonts w:eastAsia="Times New Roman" w:cs="Times New Roman"/>
          <w:color w:val="404040" w:themeColor="text1" w:themeTint="BF"/>
          <w:szCs w:val="24"/>
        </w:rPr>
        <w:t xml:space="preserve"> Ottawa: Statistics Canada.</w:t>
      </w:r>
    </w:p>
    <w:p w14:paraId="4A9737BA" w14:textId="77777777"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Finnie, R., &amp; Mueller, R. (2009). The backgrounds of Canadian youth and access to post-secondary education: New evidence from the youth in transition survey. In R. Finnie, R. Mueller, A. Sweetman, &amp; A. Usher (Eds.) </w:t>
      </w:r>
      <w:r w:rsidRPr="00310E66">
        <w:rPr>
          <w:rFonts w:eastAsiaTheme="minorEastAsia" w:cs="Times New Roman"/>
          <w:i/>
          <w:color w:val="404040" w:themeColor="text1" w:themeTint="BF"/>
          <w:szCs w:val="24"/>
        </w:rPr>
        <w:t>Who goes? Who stays? What matters? Access to and remaining in post-secondary education in Canada.</w:t>
      </w:r>
      <w:r w:rsidRPr="00310E66">
        <w:rPr>
          <w:rFonts w:eastAsiaTheme="minorEastAsia" w:cs="Times New Roman"/>
          <w:color w:val="404040" w:themeColor="text1" w:themeTint="BF"/>
          <w:szCs w:val="24"/>
        </w:rPr>
        <w:t xml:space="preserve"> Montreal-Kingston: McGill-Queen’s University Press</w:t>
      </w:r>
    </w:p>
    <w:p w14:paraId="2641BA55" w14:textId="1F75DC31"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Finnie R., &amp; </w:t>
      </w:r>
      <w:r w:rsidR="00A10083">
        <w:rPr>
          <w:rFonts w:eastAsiaTheme="minorEastAsia" w:cs="Times New Roman"/>
          <w:color w:val="404040" w:themeColor="text1" w:themeTint="BF"/>
          <w:szCs w:val="24"/>
        </w:rPr>
        <w:t>Usher, A. (2008). The Canadian experiment in cost-sharing and its effects on access to higher e</w:t>
      </w:r>
      <w:r w:rsidRPr="00310E66">
        <w:rPr>
          <w:rFonts w:eastAsiaTheme="minorEastAsia" w:cs="Times New Roman"/>
          <w:color w:val="404040" w:themeColor="text1" w:themeTint="BF"/>
          <w:szCs w:val="24"/>
        </w:rPr>
        <w:t xml:space="preserve">ducation, 1990-2002. In Teixeira, P. N., Johnstone, D. B., &amp; Rosa, M. J. (Eds.) </w:t>
      </w:r>
      <w:r w:rsidR="00A10083">
        <w:rPr>
          <w:rFonts w:eastAsiaTheme="minorEastAsia" w:cs="Times New Roman"/>
          <w:i/>
          <w:color w:val="404040" w:themeColor="text1" w:themeTint="BF"/>
          <w:szCs w:val="24"/>
        </w:rPr>
        <w:t>Cost-sharing and a</w:t>
      </w:r>
      <w:r w:rsidRPr="00310E66">
        <w:rPr>
          <w:rFonts w:eastAsiaTheme="minorEastAsia" w:cs="Times New Roman"/>
          <w:i/>
          <w:color w:val="404040" w:themeColor="text1" w:themeTint="BF"/>
          <w:szCs w:val="24"/>
        </w:rPr>
        <w:t>cce</w:t>
      </w:r>
      <w:r w:rsidR="00A10083">
        <w:rPr>
          <w:rFonts w:eastAsiaTheme="minorEastAsia" w:cs="Times New Roman"/>
          <w:i/>
          <w:color w:val="404040" w:themeColor="text1" w:themeTint="BF"/>
          <w:szCs w:val="24"/>
        </w:rPr>
        <w:t>ssibility in higher e</w:t>
      </w:r>
      <w:r w:rsidRPr="00310E66">
        <w:rPr>
          <w:rFonts w:eastAsiaTheme="minorEastAsia" w:cs="Times New Roman"/>
          <w:i/>
          <w:color w:val="404040" w:themeColor="text1" w:themeTint="BF"/>
          <w:szCs w:val="24"/>
        </w:rPr>
        <w:t>ducation: A Fairer</w:t>
      </w:r>
      <w:r w:rsidR="00A10083">
        <w:rPr>
          <w:rFonts w:eastAsiaTheme="minorEastAsia" w:cs="Times New Roman"/>
          <w:i/>
          <w:color w:val="404040" w:themeColor="text1" w:themeTint="BF"/>
          <w:szCs w:val="24"/>
        </w:rPr>
        <w:t xml:space="preserve"> Deal?</w:t>
      </w:r>
      <w:r w:rsidR="00A10083">
        <w:rPr>
          <w:rFonts w:eastAsiaTheme="minorEastAsia" w:cs="Times New Roman"/>
          <w:color w:val="404040" w:themeColor="text1" w:themeTint="BF"/>
          <w:szCs w:val="24"/>
        </w:rPr>
        <w:t xml:space="preserve"> (pp. 159-187). Dordrecht</w:t>
      </w:r>
      <w:r w:rsidRPr="00310E66">
        <w:rPr>
          <w:rFonts w:eastAsiaTheme="minorEastAsia" w:cs="Times New Roman"/>
          <w:color w:val="404040" w:themeColor="text1" w:themeTint="BF"/>
          <w:szCs w:val="24"/>
        </w:rPr>
        <w:t xml:space="preserve">: Springer. </w:t>
      </w:r>
    </w:p>
    <w:p w14:paraId="4296079A" w14:textId="40D94773" w:rsidR="00310E66" w:rsidRPr="00310E66" w:rsidRDefault="00310E66" w:rsidP="00310E66">
      <w:pPr>
        <w:spacing w:after="360" w:line="240" w:lineRule="auto"/>
        <w:rPr>
          <w:rFonts w:eastAsiaTheme="minorEastAsia" w:cs="Times New Roman"/>
          <w:bCs/>
          <w:color w:val="404040" w:themeColor="text1" w:themeTint="BF"/>
          <w:szCs w:val="24"/>
        </w:rPr>
      </w:pPr>
      <w:r w:rsidRPr="00310E66">
        <w:rPr>
          <w:rFonts w:eastAsiaTheme="minorEastAsia" w:cs="Times New Roman"/>
          <w:color w:val="404040" w:themeColor="text1" w:themeTint="BF"/>
          <w:szCs w:val="24"/>
        </w:rPr>
        <w:t xml:space="preserve">Fred Hemmingway Consulting. (2008). </w:t>
      </w:r>
      <w:r w:rsidR="00A10083">
        <w:rPr>
          <w:rFonts w:eastAsiaTheme="minorEastAsia" w:cs="Times New Roman"/>
          <w:i/>
          <w:color w:val="404040" w:themeColor="text1" w:themeTint="BF"/>
          <w:szCs w:val="24"/>
        </w:rPr>
        <w:t>Easing the middle-class burden: An examination of the implications of reducing parental contributions to post-s</w:t>
      </w:r>
      <w:r w:rsidRPr="00310E66">
        <w:rPr>
          <w:rFonts w:eastAsiaTheme="minorEastAsia" w:cs="Times New Roman"/>
          <w:i/>
          <w:color w:val="404040" w:themeColor="text1" w:themeTint="BF"/>
          <w:szCs w:val="24"/>
        </w:rPr>
        <w:t>econd</w:t>
      </w:r>
      <w:r w:rsidR="00A10083">
        <w:rPr>
          <w:rFonts w:eastAsiaTheme="minorEastAsia" w:cs="Times New Roman"/>
          <w:i/>
          <w:color w:val="404040" w:themeColor="text1" w:themeTint="BF"/>
          <w:szCs w:val="24"/>
        </w:rPr>
        <w:t>ary s</w:t>
      </w:r>
      <w:r w:rsidRPr="00310E66">
        <w:rPr>
          <w:rFonts w:eastAsiaTheme="minorEastAsia" w:cs="Times New Roman"/>
          <w:i/>
          <w:color w:val="404040" w:themeColor="text1" w:themeTint="BF"/>
          <w:szCs w:val="24"/>
        </w:rPr>
        <w:t>tudy.</w:t>
      </w:r>
      <w:r w:rsidRPr="00310E66">
        <w:rPr>
          <w:rFonts w:eastAsiaTheme="minorEastAsia" w:cs="Times New Roman"/>
          <w:color w:val="404040" w:themeColor="text1" w:themeTint="BF"/>
          <w:szCs w:val="24"/>
        </w:rPr>
        <w:t xml:space="preserve"> Montreal, QC: Canadian Millennium Scholarship Foundation. </w:t>
      </w:r>
      <w:r w:rsidRPr="00310E66">
        <w:rPr>
          <w:rFonts w:eastAsiaTheme="minorEastAsia" w:cs="Times New Roman"/>
          <w:i/>
          <w:color w:val="404040" w:themeColor="text1" w:themeTint="BF"/>
          <w:szCs w:val="24"/>
        </w:rPr>
        <w:t xml:space="preserve"> </w:t>
      </w:r>
    </w:p>
    <w:p w14:paraId="10AE65AE" w14:textId="77777777" w:rsidR="00310E66" w:rsidRPr="00310E66" w:rsidRDefault="00310E66" w:rsidP="00310E66">
      <w:pPr>
        <w:spacing w:after="360" w:line="240" w:lineRule="auto"/>
        <w:rPr>
          <w:rFonts w:eastAsiaTheme="minorEastAsia" w:cs="Times New Roman"/>
          <w:color w:val="404040" w:themeColor="text1" w:themeTint="BF"/>
          <w:szCs w:val="24"/>
        </w:rPr>
      </w:pPr>
      <w:proofErr w:type="spellStart"/>
      <w:r w:rsidRPr="00310E66">
        <w:rPr>
          <w:rFonts w:eastAsiaTheme="minorEastAsia" w:cs="Times New Roman"/>
          <w:color w:val="404040" w:themeColor="text1" w:themeTint="BF"/>
          <w:szCs w:val="24"/>
        </w:rPr>
        <w:t>Frempong</w:t>
      </w:r>
      <w:proofErr w:type="spellEnd"/>
      <w:r w:rsidRPr="00310E66">
        <w:rPr>
          <w:rFonts w:eastAsiaTheme="minorEastAsia" w:cs="Times New Roman"/>
          <w:color w:val="404040" w:themeColor="text1" w:themeTint="BF"/>
          <w:szCs w:val="24"/>
        </w:rPr>
        <w:t xml:space="preserve">, G., Ma, X., &amp; Mensah, J. (2012). Access to postsecondary education: can schools compensate for socioeconomic disadvantage? </w:t>
      </w:r>
      <w:r w:rsidRPr="00310E66">
        <w:rPr>
          <w:rFonts w:eastAsiaTheme="minorEastAsia" w:cs="Times New Roman"/>
          <w:i/>
          <w:color w:val="404040" w:themeColor="text1" w:themeTint="BF"/>
          <w:szCs w:val="24"/>
        </w:rPr>
        <w:t>Higher Education, 63(1),</w:t>
      </w:r>
      <w:r w:rsidRPr="00310E66">
        <w:rPr>
          <w:rFonts w:eastAsiaTheme="minorEastAsia" w:cs="Times New Roman"/>
          <w:color w:val="404040" w:themeColor="text1" w:themeTint="BF"/>
          <w:szCs w:val="24"/>
        </w:rPr>
        <w:t xml:space="preserve"> pp. 19-32. </w:t>
      </w:r>
    </w:p>
    <w:p w14:paraId="0D7F89AC" w14:textId="0FB15135"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proofErr w:type="spellStart"/>
      <w:r w:rsidRPr="00310E66">
        <w:rPr>
          <w:rFonts w:eastAsiaTheme="minorEastAsia" w:cs="Times New Roman"/>
          <w:color w:val="404040" w:themeColor="text1" w:themeTint="BF"/>
          <w:szCs w:val="24"/>
        </w:rPr>
        <w:t>Frenette</w:t>
      </w:r>
      <w:proofErr w:type="spellEnd"/>
      <w:r w:rsidRPr="00310E66">
        <w:rPr>
          <w:rFonts w:eastAsiaTheme="minorEastAsia" w:cs="Times New Roman"/>
          <w:color w:val="404040" w:themeColor="text1" w:themeTint="BF"/>
          <w:szCs w:val="24"/>
        </w:rPr>
        <w:t xml:space="preserve">, M. (2007). </w:t>
      </w:r>
      <w:r w:rsidR="00A10083">
        <w:rPr>
          <w:rFonts w:eastAsiaTheme="minorEastAsia" w:cs="Times New Roman"/>
          <w:i/>
          <w:color w:val="404040" w:themeColor="text1" w:themeTint="BF"/>
          <w:szCs w:val="24"/>
        </w:rPr>
        <w:t>Why are y</w:t>
      </w:r>
      <w:r w:rsidRPr="00310E66">
        <w:rPr>
          <w:rFonts w:eastAsiaTheme="minorEastAsia" w:cs="Times New Roman"/>
          <w:i/>
          <w:color w:val="404040" w:themeColor="text1" w:themeTint="BF"/>
          <w:szCs w:val="24"/>
        </w:rPr>
        <w:t>outh from lower-income families less likely to attend University? Evidence from academic abilities, parental influences, and financial constraints</w:t>
      </w:r>
      <w:r w:rsidRPr="00310E66">
        <w:rPr>
          <w:rFonts w:eastAsiaTheme="minorEastAsia" w:cs="Times New Roman"/>
          <w:color w:val="404040" w:themeColor="text1" w:themeTint="BF"/>
          <w:szCs w:val="24"/>
        </w:rPr>
        <w:t xml:space="preserve"> </w:t>
      </w:r>
      <w:r w:rsidRPr="00310E66">
        <w:rPr>
          <w:rFonts w:eastAsiaTheme="minorEastAsia" w:cs="Times New Roman"/>
          <w:i/>
          <w:color w:val="404040" w:themeColor="text1" w:themeTint="BF"/>
          <w:szCs w:val="24"/>
        </w:rPr>
        <w:t xml:space="preserve">(Catalogue no. 11F0019 No. 295). </w:t>
      </w:r>
      <w:r w:rsidRPr="00310E66">
        <w:rPr>
          <w:rFonts w:eastAsiaTheme="minorEastAsia" w:cs="Times New Roman"/>
          <w:color w:val="404040" w:themeColor="text1" w:themeTint="BF"/>
          <w:szCs w:val="24"/>
        </w:rPr>
        <w:t>Ottawa: Statistics Canada.</w:t>
      </w:r>
    </w:p>
    <w:p w14:paraId="0EDB53D6" w14:textId="1947E0A1" w:rsidR="000454FF"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Gorman, G., Tieu, T. T., &amp; Cook, T. (2013). </w:t>
      </w:r>
      <w:r w:rsidR="00A10083">
        <w:rPr>
          <w:rFonts w:eastAsiaTheme="minorEastAsia" w:cs="Times New Roman"/>
          <w:i/>
          <w:iCs/>
          <w:color w:val="404040" w:themeColor="text1" w:themeTint="BF"/>
          <w:szCs w:val="24"/>
        </w:rPr>
        <w:t xml:space="preserve">Non-traditional pathways to postsecondary education: A </w:t>
      </w:r>
      <w:proofErr w:type="spellStart"/>
      <w:r w:rsidR="00A10083">
        <w:rPr>
          <w:rFonts w:eastAsiaTheme="minorEastAsia" w:cs="Times New Roman"/>
          <w:i/>
          <w:iCs/>
          <w:color w:val="404040" w:themeColor="text1" w:themeTint="BF"/>
          <w:szCs w:val="24"/>
        </w:rPr>
        <w:t>aualitative</w:t>
      </w:r>
      <w:proofErr w:type="spellEnd"/>
      <w:r w:rsidR="00A10083">
        <w:rPr>
          <w:rFonts w:eastAsiaTheme="minorEastAsia" w:cs="Times New Roman"/>
          <w:i/>
          <w:iCs/>
          <w:color w:val="404040" w:themeColor="text1" w:themeTint="BF"/>
          <w:szCs w:val="24"/>
        </w:rPr>
        <w:t xml:space="preserve"> study of the experiences of students in college preparatory p</w:t>
      </w:r>
      <w:r w:rsidRPr="00310E66">
        <w:rPr>
          <w:rFonts w:eastAsiaTheme="minorEastAsia" w:cs="Times New Roman"/>
          <w:i/>
          <w:iCs/>
          <w:color w:val="404040" w:themeColor="text1" w:themeTint="BF"/>
          <w:szCs w:val="24"/>
        </w:rPr>
        <w:t>rograms</w:t>
      </w:r>
      <w:r w:rsidRPr="00310E66">
        <w:rPr>
          <w:rFonts w:eastAsiaTheme="minorEastAsia" w:cs="Times New Roman"/>
          <w:color w:val="404040" w:themeColor="text1" w:themeTint="BF"/>
          <w:szCs w:val="24"/>
        </w:rPr>
        <w:t xml:space="preserve">. Toronto, ON: Higher Education Quality Council of Ontario. Retrieved from </w:t>
      </w:r>
      <w:hyperlink r:id="rId16" w:history="1">
        <w:r w:rsidR="000454FF" w:rsidRPr="004F101D">
          <w:rPr>
            <w:rStyle w:val="Hyperlink"/>
            <w:rFonts w:eastAsiaTheme="minorEastAsia" w:cs="Times New Roman"/>
            <w:szCs w:val="24"/>
          </w:rPr>
          <w:t>http://www.heqco.ca/SiteCollectionDocuments/Conestoga_ENG.pdf</w:t>
        </w:r>
      </w:hyperlink>
    </w:p>
    <w:p w14:paraId="2899BBD2" w14:textId="789C5D6F" w:rsidR="00310E66" w:rsidRPr="00310E66" w:rsidRDefault="00A10083" w:rsidP="00310E66">
      <w:pPr>
        <w:spacing w:after="360" w:line="240" w:lineRule="auto"/>
        <w:rPr>
          <w:rFonts w:eastAsiaTheme="minorEastAsia" w:cs="Times New Roman"/>
          <w:color w:val="404040" w:themeColor="text1" w:themeTint="BF"/>
          <w:szCs w:val="24"/>
        </w:rPr>
      </w:pPr>
      <w:r>
        <w:rPr>
          <w:rFonts w:eastAsiaTheme="minorEastAsia" w:cs="Times New Roman"/>
          <w:color w:val="404040" w:themeColor="text1" w:themeTint="BF"/>
          <w:szCs w:val="24"/>
        </w:rPr>
        <w:t>British Columbia Ministry</w:t>
      </w:r>
      <w:r w:rsidR="00310E66" w:rsidRPr="00310E66">
        <w:rPr>
          <w:rFonts w:eastAsiaTheme="minorEastAsia" w:cs="Times New Roman"/>
          <w:color w:val="404040" w:themeColor="text1" w:themeTint="BF"/>
          <w:szCs w:val="24"/>
        </w:rPr>
        <w:t xml:space="preserve">. (2005). </w:t>
      </w:r>
      <w:r w:rsidR="00310E66" w:rsidRPr="00A10083">
        <w:rPr>
          <w:rFonts w:eastAsiaTheme="minorEastAsia" w:cs="Times New Roman"/>
          <w:i/>
          <w:color w:val="404040" w:themeColor="text1" w:themeTint="BF"/>
          <w:szCs w:val="24"/>
        </w:rPr>
        <w:t>New Relationship Vision</w:t>
      </w:r>
      <w:r w:rsidR="00310E66" w:rsidRPr="00310E66">
        <w:rPr>
          <w:rFonts w:eastAsiaTheme="minorEastAsia" w:cs="Times New Roman"/>
          <w:color w:val="404040" w:themeColor="text1" w:themeTint="BF"/>
          <w:szCs w:val="24"/>
        </w:rPr>
        <w:t>. Victoria: Queen’s Press. Retrieved July 2, 2013 from: http://www.newrelationship.gov.bc.ca/shared/downloads/new_relationship.pdf</w:t>
      </w:r>
    </w:p>
    <w:p w14:paraId="2CC742C7" w14:textId="60CBC09D"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Government of British Columbia. (2008). </w:t>
      </w:r>
      <w:r w:rsidR="00A10083">
        <w:rPr>
          <w:rFonts w:eastAsiaTheme="minorEastAsia" w:cs="Times New Roman"/>
          <w:color w:val="404040" w:themeColor="text1" w:themeTint="BF"/>
          <w:szCs w:val="24"/>
        </w:rPr>
        <w:t>The transformative change a</w:t>
      </w:r>
      <w:r w:rsidRPr="00310E66">
        <w:rPr>
          <w:rFonts w:eastAsiaTheme="minorEastAsia" w:cs="Times New Roman"/>
          <w:color w:val="404040" w:themeColor="text1" w:themeTint="BF"/>
          <w:szCs w:val="24"/>
        </w:rPr>
        <w:t>ccord. Website of the New Relationship Accord, Government of B.C. Retrieved July 13, 2013 from http://www.newrelationship.gov.bc.ca/agreements_and_leg/trans_change_accord.html</w:t>
      </w:r>
    </w:p>
    <w:p w14:paraId="73599DD0" w14:textId="05E50202"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Grabove, V., </w:t>
      </w:r>
      <w:proofErr w:type="spellStart"/>
      <w:r w:rsidRPr="00310E66">
        <w:rPr>
          <w:rFonts w:eastAsiaTheme="minorEastAsia" w:cs="Times New Roman"/>
          <w:color w:val="404040" w:themeColor="text1" w:themeTint="BF"/>
          <w:szCs w:val="24"/>
        </w:rPr>
        <w:t>Kustra</w:t>
      </w:r>
      <w:proofErr w:type="spellEnd"/>
      <w:r w:rsidRPr="00310E66">
        <w:rPr>
          <w:rFonts w:eastAsiaTheme="minorEastAsia" w:cs="Times New Roman"/>
          <w:color w:val="404040" w:themeColor="text1" w:themeTint="BF"/>
          <w:szCs w:val="24"/>
        </w:rPr>
        <w:t>, E, Lopes, V., Potter, M. K., Wiggers, R., &amp; Wood</w:t>
      </w:r>
      <w:r w:rsidR="00A10083">
        <w:rPr>
          <w:rFonts w:eastAsiaTheme="minorEastAsia" w:cs="Times New Roman"/>
          <w:color w:val="404040" w:themeColor="text1" w:themeTint="BF"/>
          <w:szCs w:val="24"/>
        </w:rPr>
        <w:t xml:space="preserve">house, R. (2012). Teaching and learning </w:t>
      </w:r>
      <w:proofErr w:type="spellStart"/>
      <w:r w:rsidR="00A10083">
        <w:rPr>
          <w:rFonts w:eastAsiaTheme="minorEastAsia" w:cs="Times New Roman"/>
          <w:color w:val="404040" w:themeColor="text1" w:themeTint="BF"/>
          <w:szCs w:val="24"/>
        </w:rPr>
        <w:t>centres</w:t>
      </w:r>
      <w:proofErr w:type="spellEnd"/>
      <w:r w:rsidR="00A10083">
        <w:rPr>
          <w:rFonts w:eastAsiaTheme="minorEastAsia" w:cs="Times New Roman"/>
          <w:color w:val="404040" w:themeColor="text1" w:themeTint="BF"/>
          <w:szCs w:val="24"/>
        </w:rPr>
        <w:t>: Their evolving role within Ontario colleges and u</w:t>
      </w:r>
      <w:r w:rsidRPr="00310E66">
        <w:rPr>
          <w:rFonts w:eastAsiaTheme="minorEastAsia" w:cs="Times New Roman"/>
          <w:color w:val="404040" w:themeColor="text1" w:themeTint="BF"/>
          <w:szCs w:val="24"/>
        </w:rPr>
        <w:t xml:space="preserve">niversities. Issue Paper No. 12. Retrieved July 8, 2013 from: </w:t>
      </w:r>
      <w:hyperlink r:id="rId17" w:history="1">
        <w:r w:rsidRPr="00310E66">
          <w:rPr>
            <w:rFonts w:eastAsiaTheme="minorEastAsia" w:cs="Times New Roman"/>
            <w:color w:val="404040" w:themeColor="text1" w:themeTint="BF"/>
            <w:szCs w:val="24"/>
          </w:rPr>
          <w:t>http://www.heqco.ca/en-CA/Research/At_Issue_Papers/Pages/Summary.aspx?link=14</w:t>
        </w:r>
      </w:hyperlink>
    </w:p>
    <w:p w14:paraId="50082661" w14:textId="77777777" w:rsidR="00310E66" w:rsidRPr="00310E66" w:rsidRDefault="00310E66" w:rsidP="00310E66">
      <w:pPr>
        <w:spacing w:after="0" w:line="240" w:lineRule="auto"/>
        <w:rPr>
          <w:rFonts w:eastAsia="Calibri" w:cs="Times New Roman"/>
          <w:lang w:val="en-GB"/>
        </w:rPr>
      </w:pPr>
      <w:r w:rsidRPr="00310E66">
        <w:rPr>
          <w:rFonts w:eastAsia="Calibri" w:cs="Times New Roman"/>
          <w:lang w:val="en-GB"/>
        </w:rPr>
        <w:lastRenderedPageBreak/>
        <w:t xml:space="preserve">Jones, G. A. (1996). Governments, governance, and Canadian universities. In John C. Smart (Ed.), </w:t>
      </w:r>
      <w:r w:rsidRPr="00310E66">
        <w:rPr>
          <w:rFonts w:eastAsia="Calibri" w:cs="Times New Roman"/>
          <w:i/>
          <w:lang w:val="en-GB"/>
        </w:rPr>
        <w:t>Higher education: Handbook of theory and research, Volume XI</w:t>
      </w:r>
      <w:r w:rsidRPr="00310E66">
        <w:rPr>
          <w:rFonts w:eastAsia="Calibri" w:cs="Times New Roman"/>
          <w:lang w:val="en-GB"/>
        </w:rPr>
        <w:t xml:space="preserve"> (pp. 337-371). New York, NY: Agathon Press.</w:t>
      </w:r>
    </w:p>
    <w:p w14:paraId="63B52DC7" w14:textId="77777777" w:rsidR="00310E66" w:rsidRPr="00310E66" w:rsidRDefault="00310E66" w:rsidP="00310E66">
      <w:pPr>
        <w:spacing w:after="0" w:line="240" w:lineRule="auto"/>
        <w:rPr>
          <w:rFonts w:eastAsia="Calibri" w:cs="Times New Roman"/>
          <w:lang w:val="en-GB"/>
        </w:rPr>
      </w:pPr>
    </w:p>
    <w:p w14:paraId="38AA23A1" w14:textId="77777777"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Jones, G. A. (2004). Ontario higher education reform, 1995-2003: From modest modifications to policy reform. </w:t>
      </w:r>
      <w:r w:rsidRPr="00310E66">
        <w:rPr>
          <w:rFonts w:eastAsiaTheme="minorEastAsia" w:cs="Times New Roman"/>
          <w:i/>
          <w:color w:val="404040" w:themeColor="text1" w:themeTint="BF"/>
          <w:szCs w:val="24"/>
        </w:rPr>
        <w:t>Canadian Journal of Higher Education</w:t>
      </w:r>
      <w:r w:rsidRPr="00310E66">
        <w:rPr>
          <w:rFonts w:eastAsiaTheme="minorEastAsia" w:cs="Times New Roman"/>
          <w:color w:val="404040" w:themeColor="text1" w:themeTint="BF"/>
          <w:szCs w:val="24"/>
        </w:rPr>
        <w:t xml:space="preserve"> 34(3), 39-54.</w:t>
      </w:r>
    </w:p>
    <w:p w14:paraId="7225A663" w14:textId="77777777" w:rsidR="00310E66" w:rsidRDefault="00310E66" w:rsidP="00310E66">
      <w:pPr>
        <w:spacing w:after="0" w:line="240" w:lineRule="auto"/>
        <w:rPr>
          <w:rFonts w:eastAsia="Calibri" w:cs="Times New Roman"/>
          <w:lang w:val="en-GB"/>
        </w:rPr>
      </w:pPr>
      <w:r w:rsidRPr="00310E66">
        <w:rPr>
          <w:rFonts w:eastAsia="Calibri" w:cs="Times New Roman"/>
          <w:lang w:val="en-GB"/>
        </w:rPr>
        <w:t xml:space="preserve">Jones, G. A. (2009). Sectors, institutional types, and the challenges of shifting categories: A Canadian commentary. </w:t>
      </w:r>
      <w:r w:rsidRPr="00310E66">
        <w:rPr>
          <w:rFonts w:eastAsia="Calibri" w:cs="Times New Roman"/>
          <w:i/>
          <w:lang w:val="en-GB"/>
        </w:rPr>
        <w:t>Higher Education Quarterly</w:t>
      </w:r>
      <w:r w:rsidRPr="00310E66">
        <w:rPr>
          <w:rFonts w:eastAsia="Calibri" w:cs="Times New Roman"/>
          <w:lang w:val="en-GB"/>
        </w:rPr>
        <w:t xml:space="preserve"> 63(4), 371-383.</w:t>
      </w:r>
    </w:p>
    <w:p w14:paraId="40EE20AB" w14:textId="77777777" w:rsidR="00C66791" w:rsidRDefault="00C66791" w:rsidP="00310E66">
      <w:pPr>
        <w:spacing w:after="0" w:line="240" w:lineRule="auto"/>
        <w:rPr>
          <w:rFonts w:eastAsia="Calibri" w:cs="Times New Roman"/>
          <w:lang w:val="en-GB"/>
        </w:rPr>
      </w:pPr>
    </w:p>
    <w:p w14:paraId="3C7E0925" w14:textId="19C52D7B" w:rsidR="00C66791" w:rsidRPr="00C66791" w:rsidRDefault="00C66791" w:rsidP="00C66791">
      <w:pPr>
        <w:spacing w:after="0" w:line="240" w:lineRule="auto"/>
        <w:rPr>
          <w:rFonts w:eastAsia="Calibri" w:cs="Times New Roman"/>
        </w:rPr>
      </w:pPr>
      <w:r>
        <w:rPr>
          <w:rFonts w:eastAsia="Calibri" w:cs="Times New Roman"/>
        </w:rPr>
        <w:t>Jones, G.</w:t>
      </w:r>
      <w:r w:rsidRPr="00C66791">
        <w:rPr>
          <w:rFonts w:eastAsia="Calibri" w:cs="Times New Roman"/>
        </w:rPr>
        <w:t xml:space="preserve"> A. (2012</w:t>
      </w:r>
      <w:r>
        <w:rPr>
          <w:rFonts w:eastAsia="Calibri" w:cs="Times New Roman"/>
        </w:rPr>
        <w:t>). Reflections on the evolution of higher education as a field of s</w:t>
      </w:r>
      <w:r w:rsidRPr="00C66791">
        <w:rPr>
          <w:rFonts w:eastAsia="Calibri" w:cs="Times New Roman"/>
        </w:rPr>
        <w:t xml:space="preserve">tudy in Canada. </w:t>
      </w:r>
      <w:r w:rsidRPr="00C66791">
        <w:rPr>
          <w:rFonts w:eastAsia="Calibri" w:cs="Times New Roman"/>
          <w:i/>
        </w:rPr>
        <w:t>Higher Education Research &amp; Development</w:t>
      </w:r>
      <w:r w:rsidRPr="00C66791">
        <w:rPr>
          <w:rFonts w:eastAsia="Calibri" w:cs="Times New Roman"/>
        </w:rPr>
        <w:t xml:space="preserve"> 31(5), 711-722.</w:t>
      </w:r>
    </w:p>
    <w:p w14:paraId="296D0812" w14:textId="77777777" w:rsidR="00310E66" w:rsidRPr="00310E66" w:rsidRDefault="00310E66" w:rsidP="00310E66">
      <w:pPr>
        <w:spacing w:after="0" w:line="240" w:lineRule="auto"/>
        <w:rPr>
          <w:rFonts w:eastAsia="Calibri" w:cs="Times New Roman"/>
          <w:lang w:val="en-GB"/>
        </w:rPr>
      </w:pPr>
    </w:p>
    <w:p w14:paraId="56DB67CA" w14:textId="77777777"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Jones, G., Shanahan, T., </w:t>
      </w:r>
      <w:proofErr w:type="spellStart"/>
      <w:r w:rsidRPr="00310E66">
        <w:rPr>
          <w:rFonts w:eastAsiaTheme="minorEastAsia" w:cs="Times New Roman"/>
          <w:color w:val="404040" w:themeColor="text1" w:themeTint="BF"/>
          <w:szCs w:val="24"/>
        </w:rPr>
        <w:t>Padure</w:t>
      </w:r>
      <w:proofErr w:type="spellEnd"/>
      <w:r w:rsidRPr="00310E66">
        <w:rPr>
          <w:rFonts w:eastAsiaTheme="minorEastAsia" w:cs="Times New Roman"/>
          <w:color w:val="404040" w:themeColor="text1" w:themeTint="BF"/>
          <w:szCs w:val="24"/>
        </w:rPr>
        <w:t xml:space="preserve">, L., Lamoureux, S., &amp; Gregor, E. (2008). </w:t>
      </w:r>
      <w:r w:rsidRPr="00310E66">
        <w:rPr>
          <w:rFonts w:eastAsiaTheme="minorEastAsia" w:cs="Times New Roman"/>
          <w:i/>
          <w:color w:val="404040" w:themeColor="text1" w:themeTint="BF"/>
          <w:szCs w:val="24"/>
        </w:rPr>
        <w:t>Marshalling resources for change: System-level initiatives to increase accessibility to post-secondary education</w:t>
      </w:r>
      <w:r w:rsidRPr="00310E66">
        <w:rPr>
          <w:rFonts w:eastAsiaTheme="minorEastAsia" w:cs="Times New Roman"/>
          <w:color w:val="404040" w:themeColor="text1" w:themeTint="BF"/>
          <w:szCs w:val="24"/>
        </w:rPr>
        <w:t>. Montreal, QC: Canada Millennium Scholarship Foundation.</w:t>
      </w:r>
    </w:p>
    <w:p w14:paraId="3A2994A3" w14:textId="7F1C7F2B" w:rsidR="00310E66" w:rsidRPr="00310E66" w:rsidRDefault="00310E66" w:rsidP="00310E66">
      <w:pPr>
        <w:spacing w:after="360" w:line="240" w:lineRule="auto"/>
        <w:rPr>
          <w:rFonts w:eastAsiaTheme="minorEastAsia" w:cs="Times New Roman"/>
          <w:color w:val="404040" w:themeColor="text1" w:themeTint="BF"/>
          <w:szCs w:val="24"/>
        </w:rPr>
      </w:pPr>
      <w:proofErr w:type="spellStart"/>
      <w:r w:rsidRPr="00310E66">
        <w:rPr>
          <w:rFonts w:eastAsiaTheme="minorEastAsia" w:cs="Times New Roman"/>
          <w:color w:val="404040" w:themeColor="text1" w:themeTint="BF"/>
          <w:szCs w:val="24"/>
        </w:rPr>
        <w:t>Jothan</w:t>
      </w:r>
      <w:proofErr w:type="spellEnd"/>
      <w:r w:rsidRPr="00310E66">
        <w:rPr>
          <w:rFonts w:eastAsiaTheme="minorEastAsia" w:cs="Times New Roman"/>
          <w:color w:val="404040" w:themeColor="text1" w:themeTint="BF"/>
          <w:szCs w:val="24"/>
        </w:rPr>
        <w:t xml:space="preserve">, K. (2005). </w:t>
      </w:r>
      <w:r w:rsidR="00A10083">
        <w:rPr>
          <w:rFonts w:eastAsiaTheme="minorEastAsia" w:cs="Times New Roman"/>
          <w:i/>
          <w:color w:val="404040" w:themeColor="text1" w:themeTint="BF"/>
          <w:szCs w:val="24"/>
        </w:rPr>
        <w:t>Final report: Review of Aboriginal post-secondary education programs, services and strategies/best practices &amp; Aboriginal Special Projects F</w:t>
      </w:r>
      <w:r w:rsidRPr="00310E66">
        <w:rPr>
          <w:rFonts w:eastAsiaTheme="minorEastAsia" w:cs="Times New Roman"/>
          <w:i/>
          <w:color w:val="404040" w:themeColor="text1" w:themeTint="BF"/>
          <w:szCs w:val="24"/>
        </w:rPr>
        <w:t>unding (ASPF) Program.</w:t>
      </w:r>
      <w:r w:rsidRPr="00310E66">
        <w:rPr>
          <w:rFonts w:eastAsiaTheme="minorEastAsia" w:cs="Times New Roman"/>
          <w:color w:val="404040" w:themeColor="text1" w:themeTint="BF"/>
          <w:szCs w:val="24"/>
        </w:rPr>
        <w:t xml:space="preserve"> Victoria, BC: British Columbia Ministry of Advanced Education. </w:t>
      </w:r>
      <w:hyperlink r:id="rId18" w:history="1">
        <w:r w:rsidRPr="00310E66">
          <w:rPr>
            <w:rFonts w:eastAsiaTheme="minorEastAsia" w:cs="Times New Roman"/>
            <w:color w:val="0000FF" w:themeColor="hyperlink"/>
            <w:szCs w:val="24"/>
            <w:u w:val="single"/>
          </w:rPr>
          <w:t>http://www.aved.gov.bc.ca/aboriginal/docs/educator-resources/APSES_evaluation_report.pdf</w:t>
        </w:r>
      </w:hyperlink>
      <w:r w:rsidRPr="00310E66">
        <w:rPr>
          <w:rFonts w:eastAsiaTheme="minorEastAsia" w:cs="Times New Roman"/>
          <w:color w:val="404040" w:themeColor="text1" w:themeTint="BF"/>
          <w:szCs w:val="24"/>
        </w:rPr>
        <w:t xml:space="preserve"> </w:t>
      </w:r>
    </w:p>
    <w:p w14:paraId="68380C67" w14:textId="72920F13" w:rsidR="00310E66" w:rsidRPr="00310E66" w:rsidRDefault="00310E66" w:rsidP="00310E66">
      <w:pPr>
        <w:spacing w:after="360" w:line="240" w:lineRule="auto"/>
        <w:rPr>
          <w:rFonts w:eastAsiaTheme="minorEastAsia" w:cs="Times New Roman"/>
          <w:color w:val="404040" w:themeColor="text1" w:themeTint="BF"/>
          <w:szCs w:val="24"/>
        </w:rPr>
      </w:pPr>
      <w:proofErr w:type="spellStart"/>
      <w:r w:rsidRPr="00310E66">
        <w:rPr>
          <w:rFonts w:eastAsiaTheme="minorEastAsia" w:cs="Times New Roman"/>
          <w:color w:val="404040" w:themeColor="text1" w:themeTint="BF"/>
          <w:szCs w:val="24"/>
        </w:rPr>
        <w:t>Jothan</w:t>
      </w:r>
      <w:proofErr w:type="spellEnd"/>
      <w:r w:rsidRPr="00310E66">
        <w:rPr>
          <w:rFonts w:eastAsiaTheme="minorEastAsia" w:cs="Times New Roman"/>
          <w:color w:val="404040" w:themeColor="text1" w:themeTint="BF"/>
          <w:szCs w:val="24"/>
        </w:rPr>
        <w:t xml:space="preserve">, K. (2011). </w:t>
      </w:r>
      <w:r w:rsidR="00A10083">
        <w:rPr>
          <w:rFonts w:eastAsiaTheme="minorEastAsia" w:cs="Times New Roman"/>
          <w:i/>
          <w:color w:val="404040" w:themeColor="text1" w:themeTint="BF"/>
          <w:szCs w:val="24"/>
        </w:rPr>
        <w:t>Final r</w:t>
      </w:r>
      <w:r w:rsidRPr="00310E66">
        <w:rPr>
          <w:rFonts w:eastAsiaTheme="minorEastAsia" w:cs="Times New Roman"/>
          <w:i/>
          <w:color w:val="404040" w:themeColor="text1" w:themeTint="BF"/>
          <w:szCs w:val="24"/>
        </w:rPr>
        <w:t>eport: Evaluation of the BC Aboriginal Post-Secondary Education Strategy.</w:t>
      </w:r>
      <w:r w:rsidRPr="00310E66">
        <w:rPr>
          <w:rFonts w:eastAsiaTheme="minorEastAsia" w:cs="Times New Roman"/>
          <w:color w:val="404040" w:themeColor="text1" w:themeTint="BF"/>
          <w:szCs w:val="24"/>
        </w:rPr>
        <w:t xml:space="preserve"> Victoria, BC: Ministry for Advanced Education, Government of British Columbia. Retrieved from: </w:t>
      </w:r>
      <w:hyperlink r:id="rId19" w:history="1">
        <w:r w:rsidRPr="00310E66">
          <w:rPr>
            <w:rFonts w:eastAsiaTheme="minorEastAsia" w:cs="Times New Roman"/>
            <w:color w:val="0000FF" w:themeColor="hyperlink"/>
            <w:szCs w:val="24"/>
            <w:u w:val="single"/>
          </w:rPr>
          <w:t>http://www.aved.gov.bc.ca/aboriginal/docs/educator-resources/APSES_evaluation_report.pdf</w:t>
        </w:r>
      </w:hyperlink>
    </w:p>
    <w:p w14:paraId="4940A76E" w14:textId="77777777" w:rsidR="00310E66" w:rsidRPr="00310E66" w:rsidRDefault="00310E66" w:rsidP="00310E66">
      <w:pPr>
        <w:spacing w:after="360" w:line="240" w:lineRule="auto"/>
        <w:rPr>
          <w:rFonts w:eastAsiaTheme="minorEastAsia" w:cs="Times New Roman"/>
          <w:color w:val="404040" w:themeColor="text1" w:themeTint="BF"/>
          <w:szCs w:val="24"/>
        </w:rPr>
      </w:pPr>
      <w:proofErr w:type="spellStart"/>
      <w:r w:rsidRPr="00310E66">
        <w:rPr>
          <w:rFonts w:eastAsiaTheme="minorEastAsia" w:cs="Times New Roman"/>
          <w:color w:val="404040" w:themeColor="text1" w:themeTint="BF"/>
          <w:szCs w:val="24"/>
        </w:rPr>
        <w:t>Junor</w:t>
      </w:r>
      <w:proofErr w:type="spellEnd"/>
      <w:r w:rsidRPr="00310E66">
        <w:rPr>
          <w:rFonts w:eastAsiaTheme="minorEastAsia" w:cs="Times New Roman"/>
          <w:color w:val="404040" w:themeColor="text1" w:themeTint="BF"/>
          <w:szCs w:val="24"/>
        </w:rPr>
        <w:t xml:space="preserve">, S. &amp; Usher, A. (2004). </w:t>
      </w:r>
      <w:r w:rsidRPr="00310E66">
        <w:rPr>
          <w:rFonts w:eastAsiaTheme="minorEastAsia" w:cs="Times New Roman"/>
          <w:i/>
          <w:color w:val="404040" w:themeColor="text1" w:themeTint="BF"/>
          <w:szCs w:val="24"/>
        </w:rPr>
        <w:t>The price of knowledge: Access and student finance in Canada</w:t>
      </w:r>
      <w:r w:rsidRPr="00310E66">
        <w:rPr>
          <w:rFonts w:eastAsiaTheme="minorEastAsia" w:cs="Times New Roman"/>
          <w:color w:val="404040" w:themeColor="text1" w:themeTint="BF"/>
          <w:szCs w:val="24"/>
        </w:rPr>
        <w:t>. Montreal: Canada Millennium Scholarship Foundation.</w:t>
      </w:r>
    </w:p>
    <w:p w14:paraId="506402E6" w14:textId="77777777"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Kirby, D. (2010). Strategies for widening access in a quasi-market higher education environment: recent developments in Canada. </w:t>
      </w:r>
      <w:r w:rsidRPr="00310E66">
        <w:rPr>
          <w:rFonts w:eastAsiaTheme="minorEastAsia" w:cs="Times New Roman"/>
          <w:i/>
          <w:color w:val="404040" w:themeColor="text1" w:themeTint="BF"/>
          <w:szCs w:val="24"/>
        </w:rPr>
        <w:t>Higher Education,</w:t>
      </w:r>
      <w:r w:rsidRPr="00310E66">
        <w:rPr>
          <w:rFonts w:eastAsiaTheme="minorEastAsia" w:cs="Times New Roman"/>
          <w:color w:val="404040" w:themeColor="text1" w:themeTint="BF"/>
          <w:szCs w:val="24"/>
        </w:rPr>
        <w:t xml:space="preserve"> 62, pp. 267-278. </w:t>
      </w:r>
      <w:proofErr w:type="spellStart"/>
      <w:r w:rsidRPr="00310E66">
        <w:rPr>
          <w:rFonts w:eastAsiaTheme="minorEastAsia" w:cs="Times New Roman"/>
          <w:color w:val="404040" w:themeColor="text1" w:themeTint="BF"/>
          <w:szCs w:val="24"/>
        </w:rPr>
        <w:t>doi</w:t>
      </w:r>
      <w:proofErr w:type="spellEnd"/>
      <w:r w:rsidRPr="00310E66">
        <w:rPr>
          <w:rFonts w:eastAsiaTheme="minorEastAsia" w:cs="Times New Roman"/>
          <w:color w:val="404040" w:themeColor="text1" w:themeTint="BF"/>
          <w:szCs w:val="24"/>
        </w:rPr>
        <w:t xml:space="preserve"> 10.1007/s10734-010-9386-7</w:t>
      </w:r>
    </w:p>
    <w:p w14:paraId="27D00686" w14:textId="77777777"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Kirby, D. (2011). Strategies for widening access in a quasi-market higher education environment: recent developments in Canada. </w:t>
      </w:r>
      <w:r w:rsidRPr="00310E66">
        <w:rPr>
          <w:rFonts w:eastAsiaTheme="minorEastAsia" w:cs="Times New Roman"/>
          <w:i/>
          <w:color w:val="404040" w:themeColor="text1" w:themeTint="BF"/>
          <w:szCs w:val="24"/>
        </w:rPr>
        <w:t>Higher Education</w:t>
      </w:r>
      <w:r w:rsidRPr="00310E66">
        <w:rPr>
          <w:rFonts w:eastAsiaTheme="minorEastAsia" w:cs="Times New Roman"/>
          <w:color w:val="404040" w:themeColor="text1" w:themeTint="BF"/>
          <w:szCs w:val="24"/>
        </w:rPr>
        <w:t>, 62, pp. 267-278.</w:t>
      </w:r>
    </w:p>
    <w:p w14:paraId="72971BC4" w14:textId="3E2D2827"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Kinser, K. &amp; Hill, B. A. (2011). </w:t>
      </w:r>
      <w:r w:rsidR="00A10083">
        <w:rPr>
          <w:rFonts w:eastAsiaTheme="minorEastAsia" w:cs="Times New Roman"/>
          <w:i/>
          <w:color w:val="404040" w:themeColor="text1" w:themeTint="BF"/>
          <w:szCs w:val="24"/>
        </w:rPr>
        <w:t>Higher education in tumultuous times: A transatlantic dialogue on facing market f</w:t>
      </w:r>
      <w:r w:rsidRPr="00310E66">
        <w:rPr>
          <w:rFonts w:eastAsiaTheme="minorEastAsia" w:cs="Times New Roman"/>
          <w:i/>
          <w:color w:val="404040" w:themeColor="text1" w:themeTint="BF"/>
          <w:szCs w:val="24"/>
        </w:rPr>
        <w:t>or</w:t>
      </w:r>
      <w:r w:rsidR="00D437A1">
        <w:rPr>
          <w:rFonts w:eastAsiaTheme="minorEastAsia" w:cs="Times New Roman"/>
          <w:i/>
          <w:color w:val="404040" w:themeColor="text1" w:themeTint="BF"/>
          <w:szCs w:val="24"/>
        </w:rPr>
        <w:t>ces and promoting the common g</w:t>
      </w:r>
      <w:r w:rsidRPr="00310E66">
        <w:rPr>
          <w:rFonts w:eastAsiaTheme="minorEastAsia" w:cs="Times New Roman"/>
          <w:i/>
          <w:color w:val="404040" w:themeColor="text1" w:themeTint="BF"/>
          <w:szCs w:val="24"/>
        </w:rPr>
        <w:t xml:space="preserve">ood. </w:t>
      </w:r>
      <w:r w:rsidRPr="00310E66">
        <w:rPr>
          <w:rFonts w:eastAsiaTheme="minorEastAsia" w:cs="Times New Roman"/>
          <w:color w:val="404040" w:themeColor="text1" w:themeTint="BF"/>
          <w:szCs w:val="24"/>
        </w:rPr>
        <w:t>Washington, DC: American Council on Education. Retrieved from www.acenet.edu.</w:t>
      </w:r>
    </w:p>
    <w:p w14:paraId="2A112D48" w14:textId="549A04A4" w:rsidR="00310E66" w:rsidRPr="00310E66" w:rsidRDefault="00A10083" w:rsidP="00310E66">
      <w:pPr>
        <w:spacing w:after="360" w:line="240" w:lineRule="auto"/>
        <w:rPr>
          <w:rFonts w:asciiTheme="minorHAnsi" w:eastAsia="Times New Roman" w:hAnsiTheme="minorHAnsi" w:cs="Times New Roman"/>
          <w:color w:val="404040" w:themeColor="text1" w:themeTint="BF"/>
          <w:szCs w:val="24"/>
        </w:rPr>
      </w:pPr>
      <w:r>
        <w:rPr>
          <w:rFonts w:eastAsiaTheme="minorEastAsia" w:cs="Times New Roman"/>
          <w:color w:val="404040" w:themeColor="text1" w:themeTint="BF"/>
          <w:szCs w:val="24"/>
        </w:rPr>
        <w:t>Lang, D. (2009). Financing higher e</w:t>
      </w:r>
      <w:r w:rsidR="00310E66" w:rsidRPr="00310E66">
        <w:rPr>
          <w:rFonts w:eastAsiaTheme="minorEastAsia" w:cs="Times New Roman"/>
          <w:color w:val="404040" w:themeColor="text1" w:themeTint="BF"/>
          <w:szCs w:val="24"/>
        </w:rPr>
        <w:t>ducation in Canada.</w:t>
      </w:r>
      <w:r w:rsidR="00310E66" w:rsidRPr="00310E66">
        <w:rPr>
          <w:rFonts w:asciiTheme="minorHAnsi" w:eastAsia="Times New Roman" w:hAnsiTheme="minorHAnsi" w:cs="Times New Roman"/>
          <w:i/>
          <w:iCs/>
          <w:color w:val="404040" w:themeColor="text1" w:themeTint="BF"/>
          <w:szCs w:val="24"/>
        </w:rPr>
        <w:t xml:space="preserve"> </w:t>
      </w:r>
      <w:r w:rsidR="00310E66" w:rsidRPr="00310E66">
        <w:rPr>
          <w:rFonts w:asciiTheme="minorHAnsi" w:eastAsia="Times New Roman" w:hAnsiTheme="minorHAnsi" w:cs="Times New Roman"/>
          <w:color w:val="404040" w:themeColor="text1" w:themeTint="BF"/>
          <w:szCs w:val="24"/>
        </w:rPr>
        <w:t xml:space="preserve">In Michael, S. O. and </w:t>
      </w:r>
      <w:proofErr w:type="spellStart"/>
      <w:r w:rsidR="00310E66" w:rsidRPr="00310E66">
        <w:rPr>
          <w:rFonts w:asciiTheme="minorHAnsi" w:eastAsia="Times New Roman" w:hAnsiTheme="minorHAnsi" w:cs="Times New Roman"/>
          <w:color w:val="404040" w:themeColor="text1" w:themeTint="BF"/>
          <w:szCs w:val="24"/>
        </w:rPr>
        <w:t>Kretovics</w:t>
      </w:r>
      <w:proofErr w:type="spellEnd"/>
      <w:r w:rsidR="00310E66" w:rsidRPr="00310E66">
        <w:rPr>
          <w:rFonts w:asciiTheme="minorHAnsi" w:eastAsia="Times New Roman" w:hAnsiTheme="minorHAnsi" w:cs="Times New Roman"/>
          <w:color w:val="404040" w:themeColor="text1" w:themeTint="BF"/>
          <w:szCs w:val="24"/>
        </w:rPr>
        <w:t xml:space="preserve">, M. (Eds.) </w:t>
      </w:r>
      <w:r w:rsidR="00310E66" w:rsidRPr="00310E66">
        <w:rPr>
          <w:rFonts w:asciiTheme="minorHAnsi" w:eastAsia="Times New Roman" w:hAnsiTheme="minorHAnsi" w:cs="Times New Roman"/>
          <w:i/>
          <w:iCs/>
          <w:color w:val="404040" w:themeColor="text1" w:themeTint="BF"/>
          <w:szCs w:val="24"/>
        </w:rPr>
        <w:t xml:space="preserve">Financing Higher Education in a Global Market. </w:t>
      </w:r>
      <w:r w:rsidR="00310E66" w:rsidRPr="00310E66">
        <w:rPr>
          <w:rFonts w:asciiTheme="minorHAnsi" w:eastAsia="Times New Roman" w:hAnsiTheme="minorHAnsi" w:cs="Times New Roman"/>
          <w:color w:val="404040" w:themeColor="text1" w:themeTint="BF"/>
          <w:szCs w:val="24"/>
        </w:rPr>
        <w:t xml:space="preserve">New York: </w:t>
      </w:r>
      <w:proofErr w:type="spellStart"/>
      <w:r w:rsidR="00310E66" w:rsidRPr="00310E66">
        <w:rPr>
          <w:rFonts w:asciiTheme="minorHAnsi" w:eastAsia="Times New Roman" w:hAnsiTheme="minorHAnsi" w:cs="Times New Roman"/>
          <w:color w:val="404040" w:themeColor="text1" w:themeTint="BF"/>
          <w:szCs w:val="24"/>
        </w:rPr>
        <w:t>Algora</w:t>
      </w:r>
      <w:proofErr w:type="spellEnd"/>
      <w:r w:rsidR="00310E66" w:rsidRPr="00310E66">
        <w:rPr>
          <w:rFonts w:asciiTheme="minorHAnsi" w:eastAsia="Times New Roman" w:hAnsiTheme="minorHAnsi" w:cs="Times New Roman"/>
          <w:color w:val="404040" w:themeColor="text1" w:themeTint="BF"/>
          <w:szCs w:val="24"/>
        </w:rPr>
        <w:t xml:space="preserve"> Publishing. </w:t>
      </w:r>
    </w:p>
    <w:p w14:paraId="7002FF64" w14:textId="77777777" w:rsidR="00310E66" w:rsidRPr="00310E66" w:rsidRDefault="00310E66" w:rsidP="00310E66">
      <w:pPr>
        <w:spacing w:after="360" w:line="240" w:lineRule="auto"/>
        <w:rPr>
          <w:rFonts w:asciiTheme="minorHAnsi" w:eastAsia="Times New Roman" w:hAnsiTheme="minorHAnsi" w:cs="Times New Roman"/>
          <w:color w:val="404040" w:themeColor="text1" w:themeTint="BF"/>
          <w:szCs w:val="24"/>
        </w:rPr>
      </w:pPr>
      <w:r w:rsidRPr="00310E66">
        <w:rPr>
          <w:rFonts w:asciiTheme="minorHAnsi" w:eastAsia="Times New Roman" w:hAnsiTheme="minorHAnsi" w:cs="Times New Roman"/>
          <w:color w:val="404040" w:themeColor="text1" w:themeTint="BF"/>
          <w:szCs w:val="24"/>
        </w:rPr>
        <w:lastRenderedPageBreak/>
        <w:t xml:space="preserve">Lang, D. (2012). </w:t>
      </w:r>
      <w:r w:rsidRPr="00310E66">
        <w:rPr>
          <w:rFonts w:asciiTheme="minorHAnsi" w:eastAsia="Times New Roman" w:hAnsiTheme="minorHAnsi" w:cs="Times New Roman"/>
          <w:i/>
          <w:color w:val="404040" w:themeColor="text1" w:themeTint="BF"/>
          <w:szCs w:val="24"/>
        </w:rPr>
        <w:t>Incentive financing in Canadian higher education</w:t>
      </w:r>
      <w:r w:rsidRPr="00310E66">
        <w:rPr>
          <w:rFonts w:asciiTheme="minorHAnsi" w:eastAsia="Times New Roman" w:hAnsiTheme="minorHAnsi" w:cs="Times New Roman"/>
          <w:color w:val="404040" w:themeColor="text1" w:themeTint="BF"/>
          <w:szCs w:val="24"/>
        </w:rPr>
        <w:t>. Unpublished research paper.</w:t>
      </w:r>
    </w:p>
    <w:p w14:paraId="3E0C902C" w14:textId="3200FA8F"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Lazar, H. (2008). </w:t>
      </w:r>
      <w:r w:rsidR="00A10083">
        <w:rPr>
          <w:rFonts w:eastAsiaTheme="minorEastAsia" w:cs="Times New Roman"/>
          <w:i/>
          <w:color w:val="404040" w:themeColor="text1" w:themeTint="BF"/>
          <w:szCs w:val="24"/>
        </w:rPr>
        <w:t>Displacement in federal transfer payments exploring concept and practice with special r</w:t>
      </w:r>
      <w:r w:rsidRPr="00310E66">
        <w:rPr>
          <w:rFonts w:eastAsiaTheme="minorEastAsia" w:cs="Times New Roman"/>
          <w:i/>
          <w:color w:val="404040" w:themeColor="text1" w:themeTint="BF"/>
          <w:szCs w:val="24"/>
        </w:rPr>
        <w:t xml:space="preserve">eference to the Canada Millennium Scholarship Foundation </w:t>
      </w:r>
      <w:r w:rsidRPr="00310E66">
        <w:rPr>
          <w:rFonts w:eastAsiaTheme="minorEastAsia" w:cs="Times New Roman"/>
          <w:color w:val="404040" w:themeColor="text1" w:themeTint="BF"/>
          <w:szCs w:val="24"/>
        </w:rPr>
        <w:t xml:space="preserve">(No. 34). Montreal, QC: The Canada Millennium Scholarship Foundation. </w:t>
      </w:r>
    </w:p>
    <w:p w14:paraId="0303B0BE" w14:textId="39202E6B"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Liu, S., McCloy, U., &amp; </w:t>
      </w:r>
      <w:proofErr w:type="spellStart"/>
      <w:r w:rsidRPr="00310E66">
        <w:rPr>
          <w:rFonts w:eastAsiaTheme="minorEastAsia" w:cs="Times New Roman"/>
          <w:color w:val="404040" w:themeColor="text1" w:themeTint="BF"/>
          <w:szCs w:val="24"/>
        </w:rPr>
        <w:t>DeClou</w:t>
      </w:r>
      <w:proofErr w:type="spellEnd"/>
      <w:r w:rsidRPr="00310E66">
        <w:rPr>
          <w:rFonts w:eastAsiaTheme="minorEastAsia" w:cs="Times New Roman"/>
          <w:color w:val="404040" w:themeColor="text1" w:themeTint="BF"/>
          <w:szCs w:val="24"/>
        </w:rPr>
        <w:t xml:space="preserve">, L. (2007). </w:t>
      </w:r>
      <w:r w:rsidR="00A10083">
        <w:rPr>
          <w:rFonts w:eastAsiaTheme="minorEastAsia" w:cs="Times New Roman"/>
          <w:i/>
          <w:color w:val="404040" w:themeColor="text1" w:themeTint="BF"/>
          <w:szCs w:val="24"/>
        </w:rPr>
        <w:t xml:space="preserve">Early </w:t>
      </w:r>
      <w:proofErr w:type="spellStart"/>
      <w:r w:rsidR="00A10083">
        <w:rPr>
          <w:rFonts w:eastAsiaTheme="minorEastAsia" w:cs="Times New Roman"/>
          <w:i/>
          <w:color w:val="404040" w:themeColor="text1" w:themeTint="BF"/>
          <w:szCs w:val="24"/>
        </w:rPr>
        <w:t>labour</w:t>
      </w:r>
      <w:proofErr w:type="spellEnd"/>
      <w:r w:rsidR="00A10083">
        <w:rPr>
          <w:rFonts w:eastAsiaTheme="minorEastAsia" w:cs="Times New Roman"/>
          <w:i/>
          <w:color w:val="404040" w:themeColor="text1" w:themeTint="BF"/>
          <w:szCs w:val="24"/>
        </w:rPr>
        <w:t xml:space="preserve"> market outcomes of Ontario college and university g</w:t>
      </w:r>
      <w:r w:rsidRPr="00310E66">
        <w:rPr>
          <w:rFonts w:eastAsiaTheme="minorEastAsia" w:cs="Times New Roman"/>
          <w:i/>
          <w:color w:val="404040" w:themeColor="text1" w:themeTint="BF"/>
          <w:szCs w:val="24"/>
        </w:rPr>
        <w:t>raduates 1982-2005.</w:t>
      </w:r>
      <w:r w:rsidRPr="00310E66">
        <w:rPr>
          <w:rFonts w:eastAsiaTheme="minorEastAsia" w:cs="Times New Roman"/>
          <w:color w:val="404040" w:themeColor="text1" w:themeTint="BF"/>
          <w:szCs w:val="24"/>
        </w:rPr>
        <w:t xml:space="preserve"> Toronto, ON: Higher Education Quality Council of Ontario. Retrieved from </w:t>
      </w:r>
      <w:hyperlink r:id="rId20" w:history="1">
        <w:r w:rsidRPr="00310E66">
          <w:rPr>
            <w:rFonts w:eastAsiaTheme="minorEastAsia" w:cs="Times New Roman"/>
            <w:color w:val="404040" w:themeColor="text1" w:themeTint="BF"/>
            <w:szCs w:val="24"/>
          </w:rPr>
          <w:t>http://www.heqco.ca/SiteCollectionDocuments/Labour%20Market%20ENG.pdf</w:t>
        </w:r>
      </w:hyperlink>
      <w:r w:rsidRPr="00310E66">
        <w:rPr>
          <w:rFonts w:eastAsiaTheme="minorEastAsia" w:cs="Times New Roman"/>
          <w:color w:val="404040" w:themeColor="text1" w:themeTint="BF"/>
          <w:szCs w:val="24"/>
        </w:rPr>
        <w:t xml:space="preserve"> </w:t>
      </w:r>
    </w:p>
    <w:p w14:paraId="3FA02AD0" w14:textId="71F040C6"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Lussier, T. G. (2008). </w:t>
      </w:r>
      <w:r w:rsidR="00A10083">
        <w:rPr>
          <w:rFonts w:eastAsiaTheme="minorEastAsia" w:cs="Times New Roman"/>
          <w:i/>
          <w:color w:val="404040" w:themeColor="text1" w:themeTint="BF"/>
          <w:szCs w:val="24"/>
        </w:rPr>
        <w:t>Survey of early l</w:t>
      </w:r>
      <w:r w:rsidRPr="00310E66">
        <w:rPr>
          <w:rFonts w:eastAsiaTheme="minorEastAsia" w:cs="Times New Roman"/>
          <w:i/>
          <w:color w:val="404040" w:themeColor="text1" w:themeTint="BF"/>
          <w:szCs w:val="24"/>
        </w:rPr>
        <w:t>eavers - Man</w:t>
      </w:r>
      <w:r w:rsidR="00A10083">
        <w:rPr>
          <w:rFonts w:eastAsiaTheme="minorEastAsia" w:cs="Times New Roman"/>
          <w:i/>
          <w:color w:val="404040" w:themeColor="text1" w:themeTint="BF"/>
          <w:szCs w:val="24"/>
        </w:rPr>
        <w:t>itoba u</w:t>
      </w:r>
      <w:r w:rsidRPr="00310E66">
        <w:rPr>
          <w:rFonts w:eastAsiaTheme="minorEastAsia" w:cs="Times New Roman"/>
          <w:i/>
          <w:color w:val="404040" w:themeColor="text1" w:themeTint="BF"/>
          <w:szCs w:val="24"/>
        </w:rPr>
        <w:t xml:space="preserve">niversities. </w:t>
      </w:r>
      <w:r w:rsidRPr="00310E66">
        <w:rPr>
          <w:rFonts w:eastAsiaTheme="minorEastAsia" w:cs="Times New Roman"/>
          <w:color w:val="404040" w:themeColor="text1" w:themeTint="BF"/>
          <w:szCs w:val="24"/>
        </w:rPr>
        <w:t xml:space="preserve">Presentation to the Canadian Institutional Research and Planning Association. Retrieved from </w:t>
      </w:r>
      <w:hyperlink r:id="rId21" w:history="1">
        <w:r w:rsidRPr="00310E66">
          <w:rPr>
            <w:rFonts w:eastAsiaTheme="minorEastAsia" w:cs="Times New Roman"/>
            <w:color w:val="0000FF" w:themeColor="hyperlink"/>
            <w:szCs w:val="24"/>
            <w:u w:val="single"/>
          </w:rPr>
          <w:t>http://www.acpri-cirpa2008.ulaval.ca/webdav/site/acpri-cirpa2008/shared/Fichiers/Presentations/LC-4.pdf</w:t>
        </w:r>
      </w:hyperlink>
    </w:p>
    <w:p w14:paraId="7E973378" w14:textId="77777777" w:rsidR="00310E66" w:rsidRPr="00310E66" w:rsidRDefault="00310E66" w:rsidP="00310E66">
      <w:pPr>
        <w:spacing w:after="360" w:line="240" w:lineRule="auto"/>
        <w:rPr>
          <w:rFonts w:eastAsiaTheme="minorEastAsia" w:cs="Times New Roman"/>
          <w:color w:val="404040" w:themeColor="text1" w:themeTint="BF"/>
          <w:szCs w:val="24"/>
          <w:lang w:val="en-GB"/>
        </w:rPr>
      </w:pPr>
      <w:proofErr w:type="spellStart"/>
      <w:r w:rsidRPr="00310E66">
        <w:rPr>
          <w:rFonts w:eastAsiaTheme="minorEastAsia" w:cs="Times New Roman"/>
          <w:color w:val="404040" w:themeColor="text1" w:themeTint="BF"/>
          <w:szCs w:val="24"/>
        </w:rPr>
        <w:t>Maassen</w:t>
      </w:r>
      <w:proofErr w:type="spellEnd"/>
      <w:r w:rsidRPr="00310E66">
        <w:rPr>
          <w:rFonts w:eastAsiaTheme="minorEastAsia" w:cs="Times New Roman"/>
          <w:color w:val="404040" w:themeColor="text1" w:themeTint="BF"/>
          <w:szCs w:val="24"/>
        </w:rPr>
        <w:t xml:space="preserve">, P., </w:t>
      </w:r>
      <w:proofErr w:type="spellStart"/>
      <w:r w:rsidRPr="00310E66">
        <w:rPr>
          <w:rFonts w:eastAsiaTheme="minorEastAsia" w:cs="Times New Roman"/>
          <w:color w:val="404040" w:themeColor="text1" w:themeTint="BF"/>
          <w:szCs w:val="24"/>
        </w:rPr>
        <w:t>Magalhaes</w:t>
      </w:r>
      <w:proofErr w:type="spellEnd"/>
      <w:r w:rsidRPr="00310E66">
        <w:rPr>
          <w:rFonts w:eastAsiaTheme="minorEastAsia" w:cs="Times New Roman"/>
          <w:color w:val="404040" w:themeColor="text1" w:themeTint="BF"/>
          <w:szCs w:val="24"/>
        </w:rPr>
        <w:t xml:space="preserve">, A., &amp; Amaral, A. (2007). </w:t>
      </w:r>
      <w:r w:rsidRPr="00310E66">
        <w:rPr>
          <w:rFonts w:eastAsiaTheme="minorEastAsia" w:cs="Times New Roman"/>
          <w:i/>
          <w:color w:val="404040" w:themeColor="text1" w:themeTint="BF"/>
          <w:szCs w:val="24"/>
          <w:lang w:val="en-GB"/>
        </w:rPr>
        <w:t>Part 1: Conceptual/thematic introduction. Chapter 1: Analytical Framework.</w:t>
      </w:r>
      <w:r w:rsidRPr="00310E66">
        <w:rPr>
          <w:rFonts w:eastAsiaTheme="minorEastAsia" w:cs="Times New Roman"/>
          <w:color w:val="404040" w:themeColor="text1" w:themeTint="BF"/>
          <w:szCs w:val="24"/>
          <w:lang w:val="en-GB"/>
        </w:rPr>
        <w:t xml:space="preserve"> Retrieved from: http://www.google.fr/url?sa=t&amp;rct=j&amp;q=&amp;esrc=s&amp;source=web&amp;cd=3&amp;ved=0CD4QFjAC&amp;url=http%3A%2F%2Ffolk.uio.no%2Frmtpinhe%2Facess%2520project%2FDouro%2520meeting%25202007%2FCh1newA.doc&amp;ei=4MonUp6pCI6o0wXMn4CABw&amp;usg=AFQjCNHib3J0GZztt3FCDgr7ApMxmWNrGw&amp;sig2=nc1vx7vLa85AezXPj3y-tQ&amp;bvm=bv.51773540,d.d2k</w:t>
      </w:r>
    </w:p>
    <w:p w14:paraId="10370462" w14:textId="65BC5074" w:rsidR="006C6FEF" w:rsidRDefault="006C6FEF" w:rsidP="006C6FEF">
      <w:pPr>
        <w:spacing w:after="360" w:line="240" w:lineRule="auto"/>
        <w:rPr>
          <w:rFonts w:eastAsiaTheme="minorEastAsia" w:cs="Times New Roman"/>
          <w:color w:val="404040" w:themeColor="text1" w:themeTint="BF"/>
          <w:szCs w:val="24"/>
        </w:rPr>
      </w:pPr>
      <w:r>
        <w:rPr>
          <w:rFonts w:eastAsiaTheme="minorEastAsia" w:cs="Times New Roman"/>
          <w:color w:val="404040" w:themeColor="text1" w:themeTint="BF"/>
          <w:szCs w:val="24"/>
        </w:rPr>
        <w:t xml:space="preserve">Manitoba. (2011). 2010-2011 Annual Report: Manitoba Adult Literacy Strategy. </w:t>
      </w:r>
      <w:r>
        <w:rPr>
          <w:rFonts w:ascii="Times" w:eastAsia="Times New Roman" w:hAnsi="Times" w:cs="Times New Roman"/>
          <w:szCs w:val="24"/>
        </w:rPr>
        <w:t xml:space="preserve">Winnipeg, MB: Government of Manitoba. Retrieved from </w:t>
      </w:r>
      <w:r w:rsidRPr="006C6FEF">
        <w:rPr>
          <w:rFonts w:ascii="Times" w:eastAsia="Times New Roman" w:hAnsi="Times" w:cs="Times New Roman"/>
          <w:szCs w:val="24"/>
        </w:rPr>
        <w:t>http://www.edu.gov.mb.ca/ael/all/publications/annual/all_ar_10_11.pdf</w:t>
      </w:r>
    </w:p>
    <w:p w14:paraId="099E857F" w14:textId="6E7EC420" w:rsidR="00310E66" w:rsidRPr="00310E66" w:rsidRDefault="00310E66" w:rsidP="00310E66">
      <w:pPr>
        <w:spacing w:after="360" w:line="240" w:lineRule="auto"/>
        <w:rPr>
          <w:rFonts w:eastAsiaTheme="minorEastAsia" w:cs="Times New Roman"/>
          <w:color w:val="404040" w:themeColor="text1" w:themeTint="BF"/>
          <w:szCs w:val="24"/>
        </w:rPr>
      </w:pPr>
      <w:proofErr w:type="spellStart"/>
      <w:r w:rsidRPr="00310E66">
        <w:rPr>
          <w:rFonts w:eastAsiaTheme="minorEastAsia" w:cs="Times New Roman"/>
          <w:color w:val="404040" w:themeColor="text1" w:themeTint="BF"/>
          <w:szCs w:val="24"/>
        </w:rPr>
        <w:t>Martinello</w:t>
      </w:r>
      <w:proofErr w:type="spellEnd"/>
      <w:r w:rsidRPr="00310E66">
        <w:rPr>
          <w:rFonts w:eastAsiaTheme="minorEastAsia" w:cs="Times New Roman"/>
          <w:color w:val="404040" w:themeColor="text1" w:themeTint="BF"/>
          <w:szCs w:val="24"/>
        </w:rPr>
        <w:t xml:space="preserve">, F. (2007). </w:t>
      </w:r>
      <w:r w:rsidR="00A10083">
        <w:rPr>
          <w:rFonts w:eastAsiaTheme="minorEastAsia" w:cs="Times New Roman"/>
          <w:i/>
          <w:color w:val="404040" w:themeColor="text1" w:themeTint="BF"/>
          <w:szCs w:val="24"/>
        </w:rPr>
        <w:t>Student transitions and adjustments in Canadian post-secondary e</w:t>
      </w:r>
      <w:r w:rsidRPr="00310E66">
        <w:rPr>
          <w:rFonts w:eastAsiaTheme="minorEastAsia" w:cs="Times New Roman"/>
          <w:i/>
          <w:color w:val="404040" w:themeColor="text1" w:themeTint="BF"/>
          <w:szCs w:val="24"/>
        </w:rPr>
        <w:t xml:space="preserve">ducation. </w:t>
      </w:r>
      <w:r w:rsidRPr="00310E66">
        <w:rPr>
          <w:rFonts w:eastAsiaTheme="minorEastAsia" w:cs="Times New Roman"/>
          <w:color w:val="404040" w:themeColor="text1" w:themeTint="BF"/>
          <w:szCs w:val="24"/>
        </w:rPr>
        <w:t xml:space="preserve">Paper presented at the All in the Family: Evidence from the YITS on PSE Access and Persistence Conference hosted by the Canadian Millennium Scholarship Foundation, Montreal, October 19. </w:t>
      </w:r>
    </w:p>
    <w:p w14:paraId="21741934" w14:textId="7BC28156"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McElroy, L. (2008). </w:t>
      </w:r>
      <w:r w:rsidR="00C5254C">
        <w:rPr>
          <w:rFonts w:eastAsiaTheme="minorEastAsia" w:cs="Times New Roman"/>
          <w:i/>
          <w:color w:val="404040" w:themeColor="text1" w:themeTint="BF"/>
          <w:szCs w:val="24"/>
        </w:rPr>
        <w:t>The Millennium B</w:t>
      </w:r>
      <w:r w:rsidRPr="00310E66">
        <w:rPr>
          <w:rFonts w:eastAsiaTheme="minorEastAsia" w:cs="Times New Roman"/>
          <w:i/>
          <w:color w:val="404040" w:themeColor="text1" w:themeTint="BF"/>
          <w:szCs w:val="24"/>
        </w:rPr>
        <w:t>ursa</w:t>
      </w:r>
      <w:r w:rsidR="00C5254C">
        <w:rPr>
          <w:rFonts w:eastAsiaTheme="minorEastAsia" w:cs="Times New Roman"/>
          <w:i/>
          <w:color w:val="404040" w:themeColor="text1" w:themeTint="BF"/>
          <w:szCs w:val="24"/>
        </w:rPr>
        <w:t>ry in New Brunswick: Impact on debt and p</w:t>
      </w:r>
      <w:r w:rsidRPr="00310E66">
        <w:rPr>
          <w:rFonts w:eastAsiaTheme="minorEastAsia" w:cs="Times New Roman"/>
          <w:i/>
          <w:color w:val="404040" w:themeColor="text1" w:themeTint="BF"/>
          <w:szCs w:val="24"/>
        </w:rPr>
        <w:t>ersistence.</w:t>
      </w:r>
      <w:r w:rsidRPr="00310E66">
        <w:rPr>
          <w:rFonts w:eastAsiaTheme="minorEastAsia" w:cs="Times New Roman"/>
          <w:color w:val="404040" w:themeColor="text1" w:themeTint="BF"/>
          <w:szCs w:val="24"/>
        </w:rPr>
        <w:t xml:space="preserve"> The Canadian Millennium Scholarship Foundation</w:t>
      </w:r>
    </w:p>
    <w:p w14:paraId="7DF79EFA" w14:textId="2D71E3C6"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Ministry of Advanced Education. (2010). </w:t>
      </w:r>
      <w:r w:rsidR="00C5254C">
        <w:rPr>
          <w:rFonts w:eastAsiaTheme="minorEastAsia" w:cs="Times New Roman"/>
          <w:i/>
          <w:color w:val="404040" w:themeColor="text1" w:themeTint="BF"/>
          <w:szCs w:val="24"/>
        </w:rPr>
        <w:t>Increasing learner access through system a</w:t>
      </w:r>
      <w:r w:rsidRPr="00310E66">
        <w:rPr>
          <w:rFonts w:eastAsiaTheme="minorEastAsia" w:cs="Times New Roman"/>
          <w:i/>
          <w:color w:val="404040" w:themeColor="text1" w:themeTint="BF"/>
          <w:szCs w:val="24"/>
        </w:rPr>
        <w:t>lig</w:t>
      </w:r>
      <w:r w:rsidR="00C5254C">
        <w:rPr>
          <w:rFonts w:eastAsiaTheme="minorEastAsia" w:cs="Times New Roman"/>
          <w:i/>
          <w:color w:val="404040" w:themeColor="text1" w:themeTint="BF"/>
          <w:szCs w:val="24"/>
        </w:rPr>
        <w:t>nment: Final r</w:t>
      </w:r>
      <w:r w:rsidRPr="00310E66">
        <w:rPr>
          <w:rFonts w:eastAsiaTheme="minorEastAsia" w:cs="Times New Roman"/>
          <w:i/>
          <w:color w:val="404040" w:themeColor="text1" w:themeTint="BF"/>
          <w:szCs w:val="24"/>
        </w:rPr>
        <w:t>eport of the Community Adult Learning Task Team.</w:t>
      </w:r>
      <w:r w:rsidRPr="00310E66">
        <w:rPr>
          <w:rFonts w:eastAsiaTheme="minorEastAsia" w:cs="Times New Roman"/>
          <w:color w:val="404040" w:themeColor="text1" w:themeTint="BF"/>
          <w:szCs w:val="24"/>
        </w:rPr>
        <w:t xml:space="preserve"> Retrieved from Ministry of Advanced Education website </w:t>
      </w:r>
      <w:hyperlink r:id="rId22" w:history="1">
        <w:r w:rsidRPr="00310E66">
          <w:rPr>
            <w:rFonts w:eastAsiaTheme="minorEastAsia" w:cs="Times New Roman"/>
            <w:color w:val="404040" w:themeColor="text1" w:themeTint="BF"/>
            <w:szCs w:val="24"/>
          </w:rPr>
          <w:t>http://eae.alberta.ca/media/268596/calttreport.pdf</w:t>
        </w:r>
      </w:hyperlink>
      <w:r w:rsidRPr="00310E66">
        <w:rPr>
          <w:rFonts w:eastAsiaTheme="minorEastAsia" w:cs="Times New Roman"/>
          <w:color w:val="404040" w:themeColor="text1" w:themeTint="BF"/>
          <w:szCs w:val="24"/>
        </w:rPr>
        <w:t xml:space="preserve"> </w:t>
      </w:r>
    </w:p>
    <w:p w14:paraId="1F9ADAC7" w14:textId="77777777"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New Brunswick Department of Post-Secondary Education, Training and </w:t>
      </w:r>
      <w:proofErr w:type="spellStart"/>
      <w:r w:rsidRPr="00310E66">
        <w:rPr>
          <w:rFonts w:eastAsiaTheme="minorEastAsia" w:cs="Times New Roman"/>
          <w:color w:val="404040" w:themeColor="text1" w:themeTint="BF"/>
          <w:szCs w:val="24"/>
        </w:rPr>
        <w:t>Labour</w:t>
      </w:r>
      <w:proofErr w:type="spellEnd"/>
      <w:r w:rsidRPr="00310E66">
        <w:rPr>
          <w:rFonts w:eastAsiaTheme="minorEastAsia" w:cs="Times New Roman"/>
          <w:color w:val="404040" w:themeColor="text1" w:themeTint="BF"/>
          <w:szCs w:val="24"/>
        </w:rPr>
        <w:t xml:space="preserve">. (2007). </w:t>
      </w:r>
      <w:r w:rsidRPr="00310E66">
        <w:rPr>
          <w:rFonts w:eastAsiaTheme="minorEastAsia" w:cs="Times New Roman"/>
          <w:i/>
          <w:color w:val="404040" w:themeColor="text1" w:themeTint="BF"/>
          <w:szCs w:val="24"/>
        </w:rPr>
        <w:t xml:space="preserve">Advantage New Brunswick: A province reaches to fulfill its destiny. </w:t>
      </w:r>
      <w:r w:rsidRPr="00310E66">
        <w:rPr>
          <w:rFonts w:eastAsiaTheme="minorEastAsia" w:cs="Times New Roman"/>
          <w:color w:val="404040" w:themeColor="text1" w:themeTint="BF"/>
          <w:szCs w:val="24"/>
        </w:rPr>
        <w:t>Fredericton, NB: Government of New Brunswick.</w:t>
      </w:r>
    </w:p>
    <w:p w14:paraId="12C7C4CF" w14:textId="77777777"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New Brunswick Department of Post-Secondary Education, Training and </w:t>
      </w:r>
      <w:proofErr w:type="spellStart"/>
      <w:r w:rsidRPr="00310E66">
        <w:rPr>
          <w:rFonts w:eastAsiaTheme="minorEastAsia" w:cs="Times New Roman"/>
          <w:color w:val="404040" w:themeColor="text1" w:themeTint="BF"/>
          <w:szCs w:val="24"/>
        </w:rPr>
        <w:t>Labour</w:t>
      </w:r>
      <w:proofErr w:type="spellEnd"/>
      <w:r w:rsidRPr="00310E66">
        <w:rPr>
          <w:rFonts w:eastAsiaTheme="minorEastAsia" w:cs="Times New Roman"/>
          <w:color w:val="404040" w:themeColor="text1" w:themeTint="BF"/>
          <w:szCs w:val="24"/>
        </w:rPr>
        <w:t xml:space="preserve">. (2008). </w:t>
      </w:r>
      <w:r w:rsidRPr="00310E66">
        <w:rPr>
          <w:rFonts w:eastAsiaTheme="minorEastAsia" w:cs="Times New Roman"/>
          <w:i/>
          <w:color w:val="404040" w:themeColor="text1" w:themeTint="BF"/>
          <w:szCs w:val="24"/>
        </w:rPr>
        <w:t xml:space="preserve">Be </w:t>
      </w:r>
      <w:r w:rsidRPr="00310E66">
        <w:rPr>
          <w:rFonts w:eastAsiaTheme="minorEastAsia" w:cs="Times New Roman"/>
          <w:i/>
          <w:color w:val="404040" w:themeColor="text1" w:themeTint="BF"/>
          <w:szCs w:val="24"/>
        </w:rPr>
        <w:lastRenderedPageBreak/>
        <w:t xml:space="preserve">inspired. Be ready. Be better. The action plan to transform post-secondary education in New Brunswick. </w:t>
      </w:r>
      <w:r w:rsidRPr="00310E66">
        <w:rPr>
          <w:rFonts w:eastAsiaTheme="minorEastAsia" w:cs="Times New Roman"/>
          <w:color w:val="404040" w:themeColor="text1" w:themeTint="BF"/>
          <w:szCs w:val="24"/>
        </w:rPr>
        <w:t>Fredericton, NB: Government of New Brunswick. Retrieved from http://www2.gnb.ca/content/dam/gnb/Departments/petl-epft/PETLActionPlan.pdf</w:t>
      </w:r>
    </w:p>
    <w:p w14:paraId="14D5FBBD" w14:textId="77777777"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New Brunswick Department of Post-Secondary Education, Training and </w:t>
      </w:r>
      <w:proofErr w:type="spellStart"/>
      <w:r w:rsidRPr="00310E66">
        <w:rPr>
          <w:rFonts w:eastAsiaTheme="minorEastAsia" w:cs="Times New Roman"/>
          <w:color w:val="404040" w:themeColor="text1" w:themeTint="BF"/>
          <w:szCs w:val="24"/>
        </w:rPr>
        <w:t>Labour</w:t>
      </w:r>
      <w:proofErr w:type="spellEnd"/>
      <w:r w:rsidRPr="00310E66">
        <w:rPr>
          <w:rFonts w:eastAsiaTheme="minorEastAsia" w:cs="Times New Roman"/>
          <w:color w:val="404040" w:themeColor="text1" w:themeTint="BF"/>
          <w:szCs w:val="24"/>
        </w:rPr>
        <w:t xml:space="preserve">. (2010). </w:t>
      </w:r>
      <w:r w:rsidRPr="00310E66">
        <w:rPr>
          <w:rFonts w:eastAsiaTheme="minorEastAsia" w:cs="Times New Roman"/>
          <w:i/>
          <w:color w:val="404040" w:themeColor="text1" w:themeTint="BF"/>
          <w:szCs w:val="24"/>
        </w:rPr>
        <w:t xml:space="preserve">Be inspired. Be ready. Be better. The action plan to transform post-secondary education in New Brunswick: Progress Report – March 2010. </w:t>
      </w:r>
      <w:r w:rsidRPr="00310E66">
        <w:rPr>
          <w:rFonts w:eastAsiaTheme="minorEastAsia" w:cs="Times New Roman"/>
          <w:color w:val="404040" w:themeColor="text1" w:themeTint="BF"/>
          <w:szCs w:val="24"/>
        </w:rPr>
        <w:t>Fredericton, NB: Government of New Brunswick. Retrieved from http://www2.gnb.ca/content/dam/gnb/Departments/petl-epft/ProgressReport.pdf</w:t>
      </w:r>
    </w:p>
    <w:p w14:paraId="70274086" w14:textId="77777777"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Newfoundland and Labrador Department of Education. (2005). </w:t>
      </w:r>
      <w:r w:rsidRPr="00310E66">
        <w:rPr>
          <w:rFonts w:eastAsiaTheme="minorEastAsia" w:cs="Times New Roman"/>
          <w:i/>
          <w:color w:val="404040" w:themeColor="text1" w:themeTint="BF"/>
          <w:szCs w:val="24"/>
        </w:rPr>
        <w:t>Foundation for success: White paper on public post-secondary education.</w:t>
      </w:r>
      <w:r w:rsidRPr="00310E66">
        <w:rPr>
          <w:rFonts w:eastAsiaTheme="minorEastAsia" w:cs="Times New Roman"/>
          <w:color w:val="404040" w:themeColor="text1" w:themeTint="BF"/>
          <w:szCs w:val="24"/>
        </w:rPr>
        <w:t xml:space="preserve"> St. John’s: Government of Newfoundland and Labrador. Retrieved from http://www.aes.gov.nl.ca/postsecondary/skillstaskforce/whitepaper05.pdf</w:t>
      </w:r>
    </w:p>
    <w:p w14:paraId="2CE33DBB" w14:textId="77777777"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Newfoundland and Labrador Department of Education (2008). </w:t>
      </w:r>
      <w:r w:rsidRPr="00310E66">
        <w:rPr>
          <w:rFonts w:eastAsiaTheme="minorEastAsia" w:cs="Times New Roman"/>
          <w:i/>
          <w:color w:val="404040" w:themeColor="text1" w:themeTint="BF"/>
          <w:szCs w:val="24"/>
        </w:rPr>
        <w:t>Provincial government investments transform college.</w:t>
      </w:r>
      <w:r w:rsidRPr="00310E66">
        <w:rPr>
          <w:rFonts w:eastAsiaTheme="minorEastAsia" w:cs="Times New Roman"/>
          <w:color w:val="404040" w:themeColor="text1" w:themeTint="BF"/>
          <w:szCs w:val="24"/>
        </w:rPr>
        <w:t xml:space="preserve"> Government of Newfoundland and Labrador News Releases (May 20, 2008). St. John’s: Government of Newfoundland and Labrador. Retrieved from http://www.releases.gov.nl.ca/releases/2008/edu/0520n02.htm</w:t>
      </w:r>
    </w:p>
    <w:p w14:paraId="24C3FBE3" w14:textId="3D38DAAA"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Norrie, K., &amp; Zhao, H. (2011). </w:t>
      </w:r>
      <w:r w:rsidR="00C5254C">
        <w:rPr>
          <w:rFonts w:eastAsiaTheme="minorEastAsia" w:cs="Times New Roman"/>
          <w:i/>
          <w:color w:val="404040" w:themeColor="text1" w:themeTint="BF"/>
          <w:szCs w:val="24"/>
        </w:rPr>
        <w:t>An overview of PSE a</w:t>
      </w:r>
      <w:r w:rsidRPr="00310E66">
        <w:rPr>
          <w:rFonts w:eastAsiaTheme="minorEastAsia" w:cs="Times New Roman"/>
          <w:i/>
          <w:color w:val="404040" w:themeColor="text1" w:themeTint="BF"/>
          <w:szCs w:val="24"/>
        </w:rPr>
        <w:t>ccessibility in Ontario (Issue Paper No. 8)</w:t>
      </w:r>
      <w:r w:rsidRPr="00310E66">
        <w:rPr>
          <w:rFonts w:eastAsiaTheme="minorEastAsia" w:cs="Times New Roman"/>
          <w:color w:val="404040" w:themeColor="text1" w:themeTint="BF"/>
          <w:szCs w:val="24"/>
        </w:rPr>
        <w:t>. Toronto, ON: Higher Education Quality Council of Ontario. Retrieved from http://www.heqco.ca/en-CA/Research/At_Issue_Papers/Pages/Summary.aspx?link=10</w:t>
      </w:r>
    </w:p>
    <w:p w14:paraId="0DA2FBD9" w14:textId="77777777"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Organization for Economic Co-operation and Development (OECD). (2009). </w:t>
      </w:r>
      <w:r w:rsidRPr="00310E66">
        <w:rPr>
          <w:rFonts w:eastAsiaTheme="minorEastAsia" w:cs="Times New Roman"/>
          <w:i/>
          <w:color w:val="404040" w:themeColor="text1" w:themeTint="BF"/>
          <w:szCs w:val="24"/>
        </w:rPr>
        <w:t>Education at a glance</w:t>
      </w:r>
      <w:r w:rsidRPr="00310E66">
        <w:rPr>
          <w:rFonts w:eastAsiaTheme="minorEastAsia" w:cs="Times New Roman"/>
          <w:color w:val="404040" w:themeColor="text1" w:themeTint="BF"/>
          <w:szCs w:val="24"/>
        </w:rPr>
        <w:t>. Paris: Organization for Economic Co-operation and Development. Retrieved from http://www.oecd.org/education/skills-beyond-school/educationataglance2008oecdindicators.htm</w:t>
      </w:r>
    </w:p>
    <w:p w14:paraId="40A47924" w14:textId="77777777"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Organization for Economic Co-operation and Development (OECD). (2013). </w:t>
      </w:r>
      <w:r w:rsidRPr="00310E66">
        <w:rPr>
          <w:rFonts w:eastAsiaTheme="minorEastAsia" w:cs="Times New Roman"/>
          <w:i/>
          <w:color w:val="404040" w:themeColor="text1" w:themeTint="BF"/>
          <w:szCs w:val="24"/>
        </w:rPr>
        <w:t>Education at a glance</w:t>
      </w:r>
      <w:r w:rsidRPr="00310E66">
        <w:rPr>
          <w:rFonts w:eastAsiaTheme="minorEastAsia" w:cs="Times New Roman"/>
          <w:color w:val="404040" w:themeColor="text1" w:themeTint="BF"/>
          <w:szCs w:val="24"/>
        </w:rPr>
        <w:t>. Paris: Organization for Economic Co-operation and Development. Retrieved from http://www.oecd.org/edu/eag.htm</w:t>
      </w:r>
    </w:p>
    <w:p w14:paraId="00C83498" w14:textId="1D7DF6E0"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Ontario</w:t>
      </w:r>
      <w:r w:rsidRPr="00310E66">
        <w:rPr>
          <w:rFonts w:eastAsiaTheme="minorEastAsia" w:cs="Times New Roman"/>
          <w:i/>
          <w:color w:val="404040" w:themeColor="text1" w:themeTint="BF"/>
          <w:szCs w:val="24"/>
        </w:rPr>
        <w:t xml:space="preserve"> </w:t>
      </w:r>
      <w:r w:rsidRPr="00310E66">
        <w:rPr>
          <w:rFonts w:eastAsiaTheme="minorEastAsia" w:cs="Times New Roman"/>
          <w:color w:val="404040" w:themeColor="text1" w:themeTint="BF"/>
          <w:szCs w:val="24"/>
        </w:rPr>
        <w:t xml:space="preserve">Council on Articulation and Transfer (ONCAT). (2012). </w:t>
      </w:r>
      <w:r w:rsidR="00C5254C">
        <w:rPr>
          <w:rFonts w:eastAsiaTheme="minorEastAsia" w:cs="Times New Roman"/>
          <w:i/>
          <w:color w:val="404040" w:themeColor="text1" w:themeTint="BF"/>
          <w:szCs w:val="24"/>
        </w:rPr>
        <w:t>Who we a</w:t>
      </w:r>
      <w:r w:rsidRPr="00310E66">
        <w:rPr>
          <w:rFonts w:eastAsiaTheme="minorEastAsia" w:cs="Times New Roman"/>
          <w:i/>
          <w:color w:val="404040" w:themeColor="text1" w:themeTint="BF"/>
          <w:szCs w:val="24"/>
        </w:rPr>
        <w:t xml:space="preserve">re: The Ontario Council on Articulation and Transfer (ONCAT). </w:t>
      </w:r>
      <w:r w:rsidRPr="00310E66">
        <w:rPr>
          <w:rFonts w:eastAsiaTheme="minorEastAsia" w:cs="Times New Roman"/>
          <w:color w:val="404040" w:themeColor="text1" w:themeTint="BF"/>
          <w:szCs w:val="24"/>
        </w:rPr>
        <w:t>Retrieved from http://www.ontransfer.ca/www/index_en.php?page=who_we_are</w:t>
      </w:r>
    </w:p>
    <w:p w14:paraId="1B966EE2" w14:textId="0E01D5AE"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Parkin, A., &amp; Baldwin, N. (2009). </w:t>
      </w:r>
      <w:r w:rsidR="00C5254C">
        <w:rPr>
          <w:rFonts w:eastAsiaTheme="minorEastAsia" w:cs="Times New Roman"/>
          <w:i/>
          <w:color w:val="404040" w:themeColor="text1" w:themeTint="BF"/>
          <w:szCs w:val="24"/>
        </w:rPr>
        <w:t>Persistence in post-secondary education in Canada: The latest r</w:t>
      </w:r>
      <w:r w:rsidRPr="00310E66">
        <w:rPr>
          <w:rFonts w:eastAsiaTheme="minorEastAsia" w:cs="Times New Roman"/>
          <w:i/>
          <w:color w:val="404040" w:themeColor="text1" w:themeTint="BF"/>
          <w:szCs w:val="24"/>
        </w:rPr>
        <w:t xml:space="preserve">esearch. </w:t>
      </w:r>
      <w:r w:rsidRPr="00310E66">
        <w:rPr>
          <w:rFonts w:eastAsiaTheme="minorEastAsia" w:cs="Times New Roman"/>
          <w:color w:val="404040" w:themeColor="text1" w:themeTint="BF"/>
          <w:szCs w:val="24"/>
        </w:rPr>
        <w:t xml:space="preserve">Montreal, QC: Canada Millennium Scholarship Foundation. Retrieved from </w:t>
      </w:r>
      <w:hyperlink r:id="rId23" w:history="1">
        <w:r w:rsidRPr="00310E66">
          <w:rPr>
            <w:rFonts w:eastAsiaTheme="minorEastAsia" w:cs="Times New Roman"/>
            <w:color w:val="404040" w:themeColor="text1" w:themeTint="BF"/>
            <w:szCs w:val="24"/>
          </w:rPr>
          <w:t>http://www.library.carleton.ca/sites/default/files/find/data/surveys/pdf_files/millennium_2009-02-12_rn-8_en.pdf</w:t>
        </w:r>
      </w:hyperlink>
    </w:p>
    <w:p w14:paraId="75288866" w14:textId="40EEC7ED"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Rae, B. (2005). </w:t>
      </w:r>
      <w:r w:rsidRPr="00310E66">
        <w:rPr>
          <w:rFonts w:eastAsiaTheme="minorEastAsia" w:cs="Times New Roman"/>
          <w:i/>
          <w:color w:val="404040" w:themeColor="text1" w:themeTint="BF"/>
          <w:szCs w:val="24"/>
        </w:rPr>
        <w:t>Ontario: A leader in l</w:t>
      </w:r>
      <w:r w:rsidR="00C5254C">
        <w:rPr>
          <w:rFonts w:eastAsiaTheme="minorEastAsia" w:cs="Times New Roman"/>
          <w:i/>
          <w:color w:val="404040" w:themeColor="text1" w:themeTint="BF"/>
          <w:szCs w:val="24"/>
        </w:rPr>
        <w:t>earning: Report &amp; r</w:t>
      </w:r>
      <w:r w:rsidRPr="00310E66">
        <w:rPr>
          <w:rFonts w:eastAsiaTheme="minorEastAsia" w:cs="Times New Roman"/>
          <w:i/>
          <w:color w:val="404040" w:themeColor="text1" w:themeTint="BF"/>
          <w:szCs w:val="24"/>
        </w:rPr>
        <w:t>ecommendations</w:t>
      </w:r>
      <w:r w:rsidRPr="00310E66">
        <w:rPr>
          <w:rFonts w:eastAsiaTheme="minorEastAsia" w:cs="Times New Roman"/>
          <w:color w:val="404040" w:themeColor="text1" w:themeTint="BF"/>
          <w:szCs w:val="24"/>
        </w:rPr>
        <w:t>. Toronto, ON:</w:t>
      </w:r>
      <w:r w:rsidRPr="00310E66">
        <w:rPr>
          <w:rFonts w:eastAsiaTheme="minorEastAsia" w:cs="Times New Roman"/>
          <w:i/>
          <w:color w:val="404040" w:themeColor="text1" w:themeTint="BF"/>
          <w:szCs w:val="24"/>
        </w:rPr>
        <w:t xml:space="preserve"> </w:t>
      </w:r>
      <w:r w:rsidRPr="00310E66">
        <w:rPr>
          <w:rFonts w:eastAsiaTheme="minorEastAsia" w:cs="Times New Roman"/>
          <w:color w:val="404040" w:themeColor="text1" w:themeTint="BF"/>
          <w:szCs w:val="24"/>
        </w:rPr>
        <w:t>Ministry of Training, Colleges and Universities</w:t>
      </w:r>
      <w:r w:rsidRPr="00310E66">
        <w:rPr>
          <w:rFonts w:eastAsiaTheme="minorEastAsia" w:cs="Times New Roman"/>
          <w:i/>
          <w:color w:val="404040" w:themeColor="text1" w:themeTint="BF"/>
          <w:szCs w:val="24"/>
        </w:rPr>
        <w:t xml:space="preserve">. </w:t>
      </w:r>
      <w:r w:rsidRPr="00310E66">
        <w:rPr>
          <w:rFonts w:eastAsiaTheme="minorEastAsia" w:cs="Times New Roman"/>
          <w:color w:val="404040" w:themeColor="text1" w:themeTint="BF"/>
          <w:szCs w:val="24"/>
        </w:rPr>
        <w:t>Retrieved from http://www.tcu.gov.on.ca/eng/document/reports/postsec.pdf</w:t>
      </w:r>
    </w:p>
    <w:p w14:paraId="2F05B485" w14:textId="016BD59A"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lastRenderedPageBreak/>
        <w:t xml:space="preserve">Santiago, P., Tremblay, K., </w:t>
      </w:r>
      <w:proofErr w:type="spellStart"/>
      <w:r w:rsidRPr="00310E66">
        <w:rPr>
          <w:rFonts w:eastAsiaTheme="minorEastAsia" w:cs="Times New Roman"/>
          <w:color w:val="404040" w:themeColor="text1" w:themeTint="BF"/>
          <w:szCs w:val="24"/>
        </w:rPr>
        <w:t>Basri</w:t>
      </w:r>
      <w:proofErr w:type="spellEnd"/>
      <w:r w:rsidRPr="00310E66">
        <w:rPr>
          <w:rFonts w:eastAsiaTheme="minorEastAsia" w:cs="Times New Roman"/>
          <w:color w:val="404040" w:themeColor="text1" w:themeTint="BF"/>
          <w:szCs w:val="24"/>
        </w:rPr>
        <w:t xml:space="preserve"> E., &amp; </w:t>
      </w:r>
      <w:proofErr w:type="spellStart"/>
      <w:r w:rsidRPr="00310E66">
        <w:rPr>
          <w:rFonts w:eastAsiaTheme="minorEastAsia" w:cs="Times New Roman"/>
          <w:color w:val="404040" w:themeColor="text1" w:themeTint="BF"/>
          <w:szCs w:val="24"/>
        </w:rPr>
        <w:t>Arnal</w:t>
      </w:r>
      <w:proofErr w:type="spellEnd"/>
      <w:r w:rsidRPr="00310E66">
        <w:rPr>
          <w:rFonts w:eastAsiaTheme="minorEastAsia" w:cs="Times New Roman"/>
          <w:color w:val="404040" w:themeColor="text1" w:themeTint="BF"/>
          <w:szCs w:val="24"/>
        </w:rPr>
        <w:t xml:space="preserve">, E. (2008). </w:t>
      </w:r>
      <w:r w:rsidR="00C5254C">
        <w:rPr>
          <w:rFonts w:eastAsiaTheme="minorEastAsia" w:cs="Times New Roman"/>
          <w:i/>
          <w:color w:val="404040" w:themeColor="text1" w:themeTint="BF"/>
          <w:szCs w:val="24"/>
        </w:rPr>
        <w:t xml:space="preserve">Tertiary education for the knowledge society, Vol.2. Special features: Equity, innovation, </w:t>
      </w:r>
      <w:proofErr w:type="spellStart"/>
      <w:r w:rsidR="00C5254C">
        <w:rPr>
          <w:rFonts w:eastAsiaTheme="minorEastAsia" w:cs="Times New Roman"/>
          <w:i/>
          <w:color w:val="404040" w:themeColor="text1" w:themeTint="BF"/>
          <w:szCs w:val="24"/>
        </w:rPr>
        <w:t>labour</w:t>
      </w:r>
      <w:proofErr w:type="spellEnd"/>
      <w:r w:rsidR="00C5254C">
        <w:rPr>
          <w:rFonts w:eastAsiaTheme="minorEastAsia" w:cs="Times New Roman"/>
          <w:i/>
          <w:color w:val="404040" w:themeColor="text1" w:themeTint="BF"/>
          <w:szCs w:val="24"/>
        </w:rPr>
        <w:t xml:space="preserve"> market, </w:t>
      </w:r>
      <w:proofErr w:type="spellStart"/>
      <w:r w:rsidR="00C5254C">
        <w:rPr>
          <w:rFonts w:eastAsiaTheme="minorEastAsia" w:cs="Times New Roman"/>
          <w:i/>
          <w:color w:val="404040" w:themeColor="text1" w:themeTint="BF"/>
          <w:szCs w:val="24"/>
        </w:rPr>
        <w:t>i</w:t>
      </w:r>
      <w:r w:rsidRPr="00310E66">
        <w:rPr>
          <w:rFonts w:eastAsiaTheme="minorEastAsia" w:cs="Times New Roman"/>
          <w:i/>
          <w:color w:val="404040" w:themeColor="text1" w:themeTint="BF"/>
          <w:szCs w:val="24"/>
        </w:rPr>
        <w:t>nternationalisation</w:t>
      </w:r>
      <w:proofErr w:type="spellEnd"/>
      <w:r w:rsidRPr="00310E66">
        <w:rPr>
          <w:rFonts w:eastAsiaTheme="minorEastAsia" w:cs="Times New Roman"/>
          <w:color w:val="404040" w:themeColor="text1" w:themeTint="BF"/>
          <w:szCs w:val="24"/>
        </w:rPr>
        <w:t>. Paris: Organization for Economic Co-operation and Development. Retrieved from http://www.oecd.org/edu/skills-beyond-school/41266759.pdf</w:t>
      </w:r>
    </w:p>
    <w:p w14:paraId="08EB0D24" w14:textId="77777777"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Schwartz, S., &amp; Finnie, R. (2002). Student loans in Canada: An analysis of borrowing and repayment.</w:t>
      </w:r>
      <w:r w:rsidRPr="00310E66">
        <w:rPr>
          <w:rFonts w:eastAsiaTheme="minorEastAsia" w:cs="Times New Roman"/>
          <w:i/>
          <w:color w:val="404040" w:themeColor="text1" w:themeTint="BF"/>
          <w:szCs w:val="24"/>
        </w:rPr>
        <w:t xml:space="preserve"> Economics of Education Review, 21</w:t>
      </w:r>
      <w:r w:rsidRPr="00310E66">
        <w:rPr>
          <w:rFonts w:eastAsiaTheme="minorEastAsia" w:cs="Times New Roman"/>
          <w:color w:val="404040" w:themeColor="text1" w:themeTint="BF"/>
          <w:szCs w:val="24"/>
        </w:rPr>
        <w:t xml:space="preserve">, pp. 497-512. </w:t>
      </w:r>
    </w:p>
    <w:p w14:paraId="3C63C1BF" w14:textId="4B31F3E0"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proofErr w:type="spellStart"/>
      <w:r w:rsidRPr="00310E66">
        <w:rPr>
          <w:rFonts w:eastAsiaTheme="minorEastAsia" w:cs="Times New Roman"/>
          <w:color w:val="404040" w:themeColor="text1" w:themeTint="BF"/>
          <w:szCs w:val="24"/>
        </w:rPr>
        <w:t>Shaienks</w:t>
      </w:r>
      <w:proofErr w:type="spellEnd"/>
      <w:r w:rsidRPr="00310E66">
        <w:rPr>
          <w:rFonts w:eastAsiaTheme="minorEastAsia" w:cs="Times New Roman"/>
          <w:color w:val="404040" w:themeColor="text1" w:themeTint="BF"/>
          <w:szCs w:val="24"/>
        </w:rPr>
        <w:t xml:space="preserve">, D., </w:t>
      </w:r>
      <w:proofErr w:type="spellStart"/>
      <w:r w:rsidRPr="00310E66">
        <w:rPr>
          <w:rFonts w:eastAsiaTheme="minorEastAsia" w:cs="Times New Roman"/>
          <w:color w:val="404040" w:themeColor="text1" w:themeTint="BF"/>
          <w:szCs w:val="24"/>
        </w:rPr>
        <w:t>Eisl-Culkin</w:t>
      </w:r>
      <w:proofErr w:type="spellEnd"/>
      <w:r w:rsidRPr="00310E66">
        <w:rPr>
          <w:rFonts w:eastAsiaTheme="minorEastAsia" w:cs="Times New Roman"/>
          <w:color w:val="404040" w:themeColor="text1" w:themeTint="BF"/>
          <w:szCs w:val="24"/>
        </w:rPr>
        <w:t xml:space="preserve">, J., &amp; </w:t>
      </w:r>
      <w:proofErr w:type="spellStart"/>
      <w:r w:rsidRPr="00310E66">
        <w:rPr>
          <w:rFonts w:eastAsiaTheme="minorEastAsia" w:cs="Times New Roman"/>
          <w:color w:val="404040" w:themeColor="text1" w:themeTint="BF"/>
          <w:szCs w:val="24"/>
        </w:rPr>
        <w:t>Bussière</w:t>
      </w:r>
      <w:proofErr w:type="spellEnd"/>
      <w:r w:rsidRPr="00310E66">
        <w:rPr>
          <w:rFonts w:eastAsiaTheme="minorEastAsia" w:cs="Times New Roman"/>
          <w:color w:val="404040" w:themeColor="text1" w:themeTint="BF"/>
          <w:szCs w:val="24"/>
        </w:rPr>
        <w:t xml:space="preserve">, P. (2006). </w:t>
      </w:r>
      <w:r w:rsidR="00C5254C">
        <w:rPr>
          <w:rFonts w:eastAsiaTheme="minorEastAsia" w:cs="Times New Roman"/>
          <w:i/>
          <w:color w:val="404040" w:themeColor="text1" w:themeTint="BF"/>
          <w:szCs w:val="24"/>
        </w:rPr>
        <w:t xml:space="preserve">Follow-up on education and </w:t>
      </w:r>
      <w:proofErr w:type="spellStart"/>
      <w:r w:rsidR="00C5254C">
        <w:rPr>
          <w:rFonts w:eastAsiaTheme="minorEastAsia" w:cs="Times New Roman"/>
          <w:i/>
          <w:color w:val="404040" w:themeColor="text1" w:themeTint="BF"/>
          <w:szCs w:val="24"/>
        </w:rPr>
        <w:t>labour</w:t>
      </w:r>
      <w:proofErr w:type="spellEnd"/>
      <w:r w:rsidR="00C5254C">
        <w:rPr>
          <w:rFonts w:eastAsiaTheme="minorEastAsia" w:cs="Times New Roman"/>
          <w:i/>
          <w:color w:val="404040" w:themeColor="text1" w:themeTint="BF"/>
          <w:szCs w:val="24"/>
        </w:rPr>
        <w:t xml:space="preserve"> market pathways of y</w:t>
      </w:r>
      <w:r w:rsidRPr="00310E66">
        <w:rPr>
          <w:rFonts w:eastAsiaTheme="minorEastAsia" w:cs="Times New Roman"/>
          <w:i/>
          <w:color w:val="404040" w:themeColor="text1" w:themeTint="BF"/>
          <w:szCs w:val="24"/>
        </w:rPr>
        <w:t xml:space="preserve">oung Canadians Aged 18 to 20 –Results from YITS Cycle 3. </w:t>
      </w:r>
      <w:r w:rsidRPr="00310E66">
        <w:rPr>
          <w:rFonts w:eastAsiaTheme="minorEastAsia" w:cs="Times New Roman"/>
          <w:color w:val="404040" w:themeColor="text1" w:themeTint="BF"/>
          <w:szCs w:val="24"/>
        </w:rPr>
        <w:t xml:space="preserve">Ottawa: Statistics Canada and Human Resources and Social Development Canada. </w:t>
      </w:r>
    </w:p>
    <w:p w14:paraId="5A0C818B" w14:textId="2BB3F800"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proofErr w:type="spellStart"/>
      <w:r w:rsidRPr="00310E66">
        <w:rPr>
          <w:rFonts w:eastAsiaTheme="minorEastAsia" w:cs="Times New Roman"/>
          <w:color w:val="404040" w:themeColor="text1" w:themeTint="BF"/>
          <w:szCs w:val="24"/>
        </w:rPr>
        <w:t>Snowdon</w:t>
      </w:r>
      <w:proofErr w:type="spellEnd"/>
      <w:r w:rsidRPr="00310E66">
        <w:rPr>
          <w:rFonts w:eastAsiaTheme="minorEastAsia" w:cs="Times New Roman"/>
          <w:color w:val="404040" w:themeColor="text1" w:themeTint="BF"/>
          <w:szCs w:val="24"/>
        </w:rPr>
        <w:t xml:space="preserve"> &amp; Associates, Inc. (2008). </w:t>
      </w:r>
      <w:r w:rsidR="00C5254C">
        <w:rPr>
          <w:rFonts w:eastAsiaTheme="minorEastAsia" w:cs="Times New Roman"/>
          <w:i/>
          <w:color w:val="404040" w:themeColor="text1" w:themeTint="BF"/>
          <w:szCs w:val="24"/>
        </w:rPr>
        <w:t>Access to medical education in Canada do differing tuition regimes affect access and career c</w:t>
      </w:r>
      <w:r w:rsidRPr="00310E66">
        <w:rPr>
          <w:rFonts w:eastAsiaTheme="minorEastAsia" w:cs="Times New Roman"/>
          <w:i/>
          <w:color w:val="404040" w:themeColor="text1" w:themeTint="BF"/>
          <w:szCs w:val="24"/>
        </w:rPr>
        <w:t>hoice?</w:t>
      </w:r>
      <w:r w:rsidRPr="00310E66">
        <w:rPr>
          <w:rFonts w:eastAsiaTheme="minorEastAsia" w:cs="Times New Roman"/>
          <w:color w:val="404040" w:themeColor="text1" w:themeTint="BF"/>
          <w:szCs w:val="24"/>
        </w:rPr>
        <w:t xml:space="preserve"> Prepared for the Canada Millennium Scholarship Foundation. Montreal, QC: Canada Millennium Scholarship Foundation. Retrieved from http://qspace.library.queensu.ca/bitstream/1974/5715/1/MedSchoolAccessRpt_EN_JUN2008.pdf</w:t>
      </w:r>
    </w:p>
    <w:p w14:paraId="2CD2A470" w14:textId="6EF02082"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Steel, N., &amp; Fahy, P. J. (2011). Attractin</w:t>
      </w:r>
      <w:r w:rsidR="00C5254C">
        <w:rPr>
          <w:rFonts w:eastAsiaTheme="minorEastAsia" w:cs="Times New Roman"/>
          <w:color w:val="404040" w:themeColor="text1" w:themeTint="BF"/>
          <w:szCs w:val="24"/>
        </w:rPr>
        <w:t>g, preparing, and retaining under-represented populations in rural and remote Alberta-North c</w:t>
      </w:r>
      <w:r w:rsidRPr="00310E66">
        <w:rPr>
          <w:rFonts w:eastAsiaTheme="minorEastAsia" w:cs="Times New Roman"/>
          <w:color w:val="404040" w:themeColor="text1" w:themeTint="BF"/>
          <w:szCs w:val="24"/>
        </w:rPr>
        <w:t xml:space="preserve">ommunities. </w:t>
      </w:r>
      <w:r w:rsidRPr="00310E66">
        <w:rPr>
          <w:rFonts w:eastAsiaTheme="minorEastAsia" w:cs="Times New Roman"/>
          <w:i/>
          <w:color w:val="404040" w:themeColor="text1" w:themeTint="BF"/>
          <w:szCs w:val="24"/>
        </w:rPr>
        <w:t>International Review of Research in Open and Distance Learning,</w:t>
      </w:r>
      <w:r w:rsidRPr="00310E66">
        <w:rPr>
          <w:rFonts w:eastAsiaTheme="minorEastAsia" w:cs="Times New Roman"/>
          <w:color w:val="404040" w:themeColor="text1" w:themeTint="BF"/>
          <w:szCs w:val="24"/>
        </w:rPr>
        <w:t xml:space="preserve"> </w:t>
      </w:r>
      <w:r w:rsidRPr="00310E66">
        <w:rPr>
          <w:rFonts w:eastAsiaTheme="minorEastAsia" w:cs="Times New Roman"/>
          <w:i/>
          <w:color w:val="404040" w:themeColor="text1" w:themeTint="BF"/>
          <w:szCs w:val="24"/>
        </w:rPr>
        <w:t>12(4),</w:t>
      </w:r>
      <w:r w:rsidRPr="00310E66">
        <w:rPr>
          <w:rFonts w:eastAsiaTheme="minorEastAsia" w:cs="Times New Roman"/>
          <w:color w:val="404040" w:themeColor="text1" w:themeTint="BF"/>
          <w:szCs w:val="24"/>
        </w:rPr>
        <w:t xml:space="preserve"> pp. 35-53. </w:t>
      </w:r>
    </w:p>
    <w:p w14:paraId="27FB2897" w14:textId="321C9BE9" w:rsidR="00310E66" w:rsidRPr="00310E66" w:rsidRDefault="00310E66" w:rsidP="00310E66">
      <w:pPr>
        <w:spacing w:after="360" w:line="240" w:lineRule="auto"/>
        <w:rPr>
          <w:rFonts w:asciiTheme="minorHAnsi" w:eastAsia="Times New Roman" w:hAnsiTheme="minorHAnsi" w:cs="Times New Roman"/>
          <w:color w:val="404040" w:themeColor="text1" w:themeTint="BF"/>
          <w:szCs w:val="24"/>
        </w:rPr>
      </w:pPr>
      <w:r w:rsidRPr="00310E66">
        <w:rPr>
          <w:rFonts w:asciiTheme="minorHAnsi" w:eastAsia="Times New Roman" w:hAnsiTheme="minorHAnsi" w:cs="Times New Roman"/>
          <w:color w:val="404040" w:themeColor="text1" w:themeTint="BF"/>
          <w:szCs w:val="24"/>
        </w:rPr>
        <w:t xml:space="preserve">Statistics Canada. (2008). </w:t>
      </w:r>
      <w:r w:rsidR="00C5254C">
        <w:rPr>
          <w:rFonts w:asciiTheme="minorHAnsi" w:eastAsia="Times New Roman" w:hAnsiTheme="minorHAnsi" w:cs="Times New Roman"/>
          <w:i/>
          <w:iCs/>
          <w:color w:val="404040" w:themeColor="text1" w:themeTint="BF"/>
          <w:szCs w:val="24"/>
        </w:rPr>
        <w:t>Educational p</w:t>
      </w:r>
      <w:r w:rsidRPr="00310E66">
        <w:rPr>
          <w:rFonts w:asciiTheme="minorHAnsi" w:eastAsia="Times New Roman" w:hAnsiTheme="minorHAnsi" w:cs="Times New Roman"/>
          <w:i/>
          <w:iCs/>
          <w:color w:val="404040" w:themeColor="text1" w:themeTint="BF"/>
          <w:szCs w:val="24"/>
        </w:rPr>
        <w:t>ortrait of Canada, Census</w:t>
      </w:r>
      <w:r w:rsidRPr="00310E66">
        <w:rPr>
          <w:rFonts w:asciiTheme="minorHAnsi" w:eastAsia="Times New Roman" w:hAnsiTheme="minorHAnsi" w:cs="Times New Roman"/>
          <w:b/>
          <w:bCs/>
          <w:color w:val="404040" w:themeColor="text1" w:themeTint="BF"/>
          <w:szCs w:val="24"/>
        </w:rPr>
        <w:t xml:space="preserve"> </w:t>
      </w:r>
      <w:r w:rsidRPr="00310E66">
        <w:rPr>
          <w:rFonts w:asciiTheme="minorHAnsi" w:eastAsia="Times New Roman" w:hAnsiTheme="minorHAnsi" w:cs="Times New Roman"/>
          <w:i/>
          <w:iCs/>
          <w:color w:val="404040" w:themeColor="text1" w:themeTint="BF"/>
          <w:szCs w:val="24"/>
        </w:rPr>
        <w:t xml:space="preserve">2006 </w:t>
      </w:r>
      <w:r w:rsidRPr="00310E66">
        <w:rPr>
          <w:rFonts w:asciiTheme="minorHAnsi" w:eastAsia="Times New Roman" w:hAnsiTheme="minorHAnsi" w:cs="Times New Roman"/>
          <w:i/>
          <w:color w:val="404040" w:themeColor="text1" w:themeTint="BF"/>
          <w:szCs w:val="24"/>
        </w:rPr>
        <w:t>(Cat. No. 97-560-X2006001)</w:t>
      </w:r>
      <w:r w:rsidRPr="00310E66">
        <w:rPr>
          <w:rFonts w:asciiTheme="minorHAnsi" w:eastAsia="Times New Roman" w:hAnsiTheme="minorHAnsi" w:cs="Times New Roman"/>
          <w:i/>
          <w:iCs/>
          <w:color w:val="404040" w:themeColor="text1" w:themeTint="BF"/>
          <w:szCs w:val="24"/>
        </w:rPr>
        <w:t xml:space="preserve">. </w:t>
      </w:r>
      <w:r w:rsidRPr="00310E66">
        <w:rPr>
          <w:rFonts w:asciiTheme="minorHAnsi" w:eastAsia="Times New Roman" w:hAnsiTheme="minorHAnsi" w:cs="Times New Roman"/>
          <w:color w:val="404040" w:themeColor="text1" w:themeTint="BF"/>
          <w:szCs w:val="24"/>
        </w:rPr>
        <w:t>Ottawa, ON: Statistics Canada.  Retrieved from http://www12.statcan.ca/census-recensement/2006/as-sa/97-560/pdf/97-560-XIE2006001.pdf</w:t>
      </w:r>
    </w:p>
    <w:p w14:paraId="695102C4" w14:textId="7A0CCA15"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Stuckey, J., &amp; Munro, D. (2013). </w:t>
      </w:r>
      <w:r w:rsidR="00C5254C">
        <w:rPr>
          <w:rFonts w:eastAsiaTheme="minorEastAsia" w:cs="Times New Roman"/>
          <w:i/>
          <w:color w:val="404040" w:themeColor="text1" w:themeTint="BF"/>
          <w:szCs w:val="24"/>
        </w:rPr>
        <w:t>The need to make skills work: The cost of Ontario’s s</w:t>
      </w:r>
      <w:r w:rsidRPr="00310E66">
        <w:rPr>
          <w:rFonts w:eastAsiaTheme="minorEastAsia" w:cs="Times New Roman"/>
          <w:i/>
          <w:color w:val="404040" w:themeColor="text1" w:themeTint="BF"/>
          <w:szCs w:val="24"/>
        </w:rPr>
        <w:t>kills</w:t>
      </w:r>
      <w:r w:rsidR="00C5254C">
        <w:rPr>
          <w:rFonts w:eastAsiaTheme="minorEastAsia" w:cs="Times New Roman"/>
          <w:i/>
          <w:color w:val="404040" w:themeColor="text1" w:themeTint="BF"/>
          <w:szCs w:val="24"/>
        </w:rPr>
        <w:t xml:space="preserve"> g</w:t>
      </w:r>
      <w:r w:rsidRPr="00310E66">
        <w:rPr>
          <w:rFonts w:eastAsiaTheme="minorEastAsia" w:cs="Times New Roman"/>
          <w:i/>
          <w:color w:val="404040" w:themeColor="text1" w:themeTint="BF"/>
          <w:szCs w:val="24"/>
        </w:rPr>
        <w:t>ap.</w:t>
      </w:r>
      <w:r w:rsidRPr="00310E66">
        <w:rPr>
          <w:rFonts w:eastAsiaTheme="minorEastAsia" w:cs="Times New Roman"/>
          <w:color w:val="404040" w:themeColor="text1" w:themeTint="BF"/>
          <w:szCs w:val="24"/>
        </w:rPr>
        <w:t xml:space="preserve"> Ottawa, ON: Conference Board of Canada. Retrieved from </w:t>
      </w:r>
      <w:hyperlink r:id="rId24" w:history="1">
        <w:r w:rsidRPr="00310E66">
          <w:rPr>
            <w:rFonts w:eastAsiaTheme="minorEastAsia" w:cs="Times New Roman"/>
            <w:color w:val="404040" w:themeColor="text1" w:themeTint="BF"/>
            <w:szCs w:val="24"/>
          </w:rPr>
          <w:t>http://www.collegesontario.org/Need_to_Make_Skills_Work_Report_June_2013.pdf</w:t>
        </w:r>
      </w:hyperlink>
    </w:p>
    <w:p w14:paraId="63E41834" w14:textId="77777777" w:rsidR="00310E66" w:rsidRPr="00310E66" w:rsidRDefault="00310E66" w:rsidP="00310E66">
      <w:pPr>
        <w:spacing w:after="360" w:line="240" w:lineRule="auto"/>
        <w:rPr>
          <w:rFonts w:eastAsiaTheme="minorEastAsia" w:cs="Times New Roman"/>
          <w:color w:val="404040" w:themeColor="text1" w:themeTint="BF"/>
          <w:szCs w:val="24"/>
        </w:rPr>
      </w:pPr>
      <w:r w:rsidRPr="00310E66">
        <w:rPr>
          <w:rFonts w:eastAsiaTheme="minorEastAsia" w:cs="Times New Roman"/>
          <w:i/>
          <w:color w:val="404040" w:themeColor="text1" w:themeTint="BF"/>
          <w:szCs w:val="24"/>
        </w:rPr>
        <w:t>Transformative Change Accord</w:t>
      </w:r>
      <w:r w:rsidRPr="00310E66">
        <w:rPr>
          <w:rFonts w:eastAsiaTheme="minorEastAsia" w:cs="Times New Roman"/>
          <w:color w:val="404040" w:themeColor="text1" w:themeTint="BF"/>
          <w:szCs w:val="24"/>
        </w:rPr>
        <w:t>. (2005). Victoria, BC: Queen’s Press. Retrieved from http://www.gov.bc.ca/arr/social/change.html</w:t>
      </w:r>
    </w:p>
    <w:p w14:paraId="40817E86" w14:textId="7B2F9244"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proofErr w:type="spellStart"/>
      <w:r w:rsidRPr="00310E66">
        <w:rPr>
          <w:rFonts w:eastAsiaTheme="minorEastAsia" w:cs="Times New Roman"/>
          <w:color w:val="404040" w:themeColor="text1" w:themeTint="BF"/>
          <w:szCs w:val="24"/>
        </w:rPr>
        <w:t>Tsagris</w:t>
      </w:r>
      <w:proofErr w:type="spellEnd"/>
      <w:r w:rsidRPr="00310E66">
        <w:rPr>
          <w:rFonts w:eastAsiaTheme="minorEastAsia" w:cs="Times New Roman"/>
          <w:color w:val="404040" w:themeColor="text1" w:themeTint="BF"/>
          <w:szCs w:val="24"/>
        </w:rPr>
        <w:t xml:space="preserve">, D., &amp; </w:t>
      </w:r>
      <w:proofErr w:type="spellStart"/>
      <w:r w:rsidRPr="00310E66">
        <w:rPr>
          <w:rFonts w:eastAsiaTheme="minorEastAsia" w:cs="Times New Roman"/>
          <w:color w:val="404040" w:themeColor="text1" w:themeTint="BF"/>
          <w:szCs w:val="24"/>
        </w:rPr>
        <w:t>Muirhead</w:t>
      </w:r>
      <w:proofErr w:type="spellEnd"/>
      <w:r w:rsidRPr="00310E66">
        <w:rPr>
          <w:rFonts w:eastAsiaTheme="minorEastAsia" w:cs="Times New Roman"/>
          <w:color w:val="404040" w:themeColor="text1" w:themeTint="BF"/>
          <w:szCs w:val="24"/>
        </w:rPr>
        <w:t xml:space="preserve">, B. (2012). </w:t>
      </w:r>
      <w:r w:rsidR="00C5254C">
        <w:rPr>
          <w:rFonts w:eastAsiaTheme="minorEastAsia" w:cs="Times New Roman"/>
          <w:i/>
          <w:color w:val="404040" w:themeColor="text1" w:themeTint="BF"/>
          <w:szCs w:val="24"/>
        </w:rPr>
        <w:t>Evaluating postsecondary supports for Ontario students with d</w:t>
      </w:r>
      <w:r w:rsidRPr="00310E66">
        <w:rPr>
          <w:rFonts w:eastAsiaTheme="minorEastAsia" w:cs="Times New Roman"/>
          <w:i/>
          <w:color w:val="404040" w:themeColor="text1" w:themeTint="BF"/>
          <w:szCs w:val="24"/>
        </w:rPr>
        <w:t xml:space="preserve">isabilities. </w:t>
      </w:r>
      <w:r w:rsidRPr="00310E66">
        <w:rPr>
          <w:rFonts w:eastAsiaTheme="minorEastAsia" w:cs="Times New Roman"/>
          <w:color w:val="404040" w:themeColor="text1" w:themeTint="BF"/>
          <w:szCs w:val="24"/>
        </w:rPr>
        <w:t xml:space="preserve">Toronto, ON: Higher Education Quality Council of Ontario. Retrieved from </w:t>
      </w:r>
      <w:hyperlink r:id="rId25" w:history="1">
        <w:r w:rsidRPr="00310E66">
          <w:rPr>
            <w:rFonts w:eastAsiaTheme="minorEastAsia" w:cs="Times New Roman"/>
            <w:color w:val="404040" w:themeColor="text1" w:themeTint="BF"/>
            <w:szCs w:val="24"/>
          </w:rPr>
          <w:t>http://www.heqco.ca/SiteCollectionDocuments/EvaluatingPSESupportsForStudentsWithLearningDisabilities.pdf</w:t>
        </w:r>
      </w:hyperlink>
      <w:r w:rsidRPr="00310E66">
        <w:rPr>
          <w:rFonts w:eastAsiaTheme="minorEastAsia" w:cs="Times New Roman"/>
          <w:color w:val="404040" w:themeColor="text1" w:themeTint="BF"/>
          <w:szCs w:val="24"/>
        </w:rPr>
        <w:t xml:space="preserve"> </w:t>
      </w:r>
    </w:p>
    <w:p w14:paraId="42DFA948" w14:textId="4A9C5D2D"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Watson, J. A. (2008)</w:t>
      </w:r>
      <w:r w:rsidR="00C5254C">
        <w:rPr>
          <w:rFonts w:eastAsiaTheme="minorEastAsia" w:cs="Times New Roman"/>
          <w:i/>
          <w:color w:val="404040" w:themeColor="text1" w:themeTint="BF"/>
          <w:szCs w:val="24"/>
        </w:rPr>
        <w:t xml:space="preserve">. </w:t>
      </w:r>
      <w:proofErr w:type="spellStart"/>
      <w:r w:rsidR="00C5254C">
        <w:rPr>
          <w:rFonts w:eastAsiaTheme="minorEastAsia" w:cs="Times New Roman"/>
          <w:i/>
          <w:color w:val="404040" w:themeColor="text1" w:themeTint="BF"/>
          <w:szCs w:val="24"/>
        </w:rPr>
        <w:t>PrivateCcareer</w:t>
      </w:r>
      <w:proofErr w:type="spellEnd"/>
      <w:r w:rsidR="00C5254C">
        <w:rPr>
          <w:rFonts w:eastAsiaTheme="minorEastAsia" w:cs="Times New Roman"/>
          <w:i/>
          <w:color w:val="404040" w:themeColor="text1" w:themeTint="BF"/>
          <w:szCs w:val="24"/>
        </w:rPr>
        <w:t xml:space="preserve"> T</w:t>
      </w:r>
      <w:r w:rsidRPr="00310E66">
        <w:rPr>
          <w:rFonts w:eastAsiaTheme="minorEastAsia" w:cs="Times New Roman"/>
          <w:i/>
          <w:color w:val="404040" w:themeColor="text1" w:themeTint="BF"/>
          <w:szCs w:val="24"/>
        </w:rPr>
        <w:t xml:space="preserve">raining Institutions Act: Review. </w:t>
      </w:r>
      <w:r w:rsidRPr="00310E66">
        <w:rPr>
          <w:rFonts w:eastAsiaTheme="minorEastAsia" w:cs="Times New Roman"/>
          <w:color w:val="404040" w:themeColor="text1" w:themeTint="BF"/>
          <w:szCs w:val="24"/>
        </w:rPr>
        <w:t>Victoria, BC: Government of British Columbia. Retrieved from: http://www.aved.gov.bc.ca/publications/docs/PCTIA-Review.pdf</w:t>
      </w:r>
    </w:p>
    <w:p w14:paraId="196DF764" w14:textId="06098CEC" w:rsidR="00310E66" w:rsidRPr="00310E66" w:rsidRDefault="00310E66" w:rsidP="00310E66">
      <w:pPr>
        <w:widowControl w:val="0"/>
        <w:autoSpaceDE w:val="0"/>
        <w:autoSpaceDN w:val="0"/>
        <w:adjustRightInd w:val="0"/>
        <w:spacing w:after="360" w:line="240" w:lineRule="auto"/>
        <w:rPr>
          <w:rFonts w:eastAsiaTheme="minorEastAsia" w:cs="Times New Roman"/>
          <w:color w:val="404040" w:themeColor="text1" w:themeTint="BF"/>
          <w:szCs w:val="24"/>
        </w:rPr>
      </w:pPr>
      <w:r w:rsidRPr="00310E66">
        <w:rPr>
          <w:rFonts w:eastAsiaTheme="minorEastAsia" w:cs="Times New Roman"/>
          <w:color w:val="404040" w:themeColor="text1" w:themeTint="BF"/>
          <w:szCs w:val="24"/>
        </w:rPr>
        <w:t xml:space="preserve">Zhao, H. (2012). </w:t>
      </w:r>
      <w:r w:rsidR="00C5254C">
        <w:rPr>
          <w:rFonts w:eastAsiaTheme="minorEastAsia" w:cs="Times New Roman"/>
          <w:i/>
          <w:color w:val="404040" w:themeColor="text1" w:themeTint="BF"/>
          <w:szCs w:val="24"/>
        </w:rPr>
        <w:t>Postsecondary education p</w:t>
      </w:r>
      <w:r w:rsidRPr="00310E66">
        <w:rPr>
          <w:rFonts w:eastAsiaTheme="minorEastAsia" w:cs="Times New Roman"/>
          <w:i/>
          <w:color w:val="404040" w:themeColor="text1" w:themeTint="BF"/>
          <w:szCs w:val="24"/>
        </w:rPr>
        <w:t xml:space="preserve">articipation of Under-represented Groups in </w:t>
      </w:r>
      <w:r w:rsidRPr="00310E66">
        <w:rPr>
          <w:rFonts w:eastAsiaTheme="minorEastAsia" w:cs="Times New Roman"/>
          <w:i/>
          <w:color w:val="404040" w:themeColor="text1" w:themeTint="BF"/>
          <w:szCs w:val="24"/>
        </w:rPr>
        <w:lastRenderedPageBreak/>
        <w:t xml:space="preserve">Ontario: Evidence from the SLID data. </w:t>
      </w:r>
      <w:r w:rsidRPr="00310E66">
        <w:rPr>
          <w:rFonts w:eastAsiaTheme="minorEastAsia" w:cs="Times New Roman"/>
          <w:color w:val="404040" w:themeColor="text1" w:themeTint="BF"/>
          <w:szCs w:val="24"/>
        </w:rPr>
        <w:t>Toronto, ON: Higher Education Quality Council of Ontario. Retrieved from http://heqco.ca/SiteCollectionDocuments/HEQCO%20SLID%20Eng.pdf</w:t>
      </w:r>
    </w:p>
    <w:p w14:paraId="7A64634E" w14:textId="77777777" w:rsidR="00B74E59" w:rsidRPr="0055435B" w:rsidRDefault="00B74E59" w:rsidP="0055435B">
      <w:pPr>
        <w:spacing w:line="360" w:lineRule="auto"/>
        <w:rPr>
          <w:rFonts w:cs="Times New Roman"/>
          <w:szCs w:val="24"/>
        </w:rPr>
      </w:pPr>
    </w:p>
    <w:p w14:paraId="5DEA4EF5" w14:textId="71F3F4E8" w:rsidR="00777516" w:rsidRPr="00AA1A92" w:rsidRDefault="00B01EE6" w:rsidP="00AA1A92">
      <w:pPr>
        <w:spacing w:line="360" w:lineRule="auto"/>
        <w:rPr>
          <w:rFonts w:cs="Times New Roman"/>
          <w:szCs w:val="24"/>
        </w:rPr>
      </w:pPr>
      <w:r w:rsidRPr="0055435B">
        <w:rPr>
          <w:rFonts w:cs="Times New Roman"/>
          <w:b/>
          <w:szCs w:val="24"/>
        </w:rPr>
        <w:t>Glen A. Jones</w:t>
      </w:r>
      <w:r w:rsidRPr="0055435B">
        <w:rPr>
          <w:rFonts w:cs="Times New Roman"/>
          <w:szCs w:val="24"/>
        </w:rPr>
        <w:t xml:space="preserve"> is the Ontario Research Chair in Postsecondary Education Policy and Measurement and a Professor of Higher Education at the Ontario Institute for Studies in Education (OISE) at the University of Toronto. </w:t>
      </w:r>
      <w:r w:rsidRPr="0055435B">
        <w:rPr>
          <w:rFonts w:cs="Times New Roman"/>
          <w:b/>
          <w:szCs w:val="24"/>
        </w:rPr>
        <w:t>Cynthia Field</w:t>
      </w:r>
      <w:r w:rsidRPr="0055435B">
        <w:rPr>
          <w:rFonts w:cs="Times New Roman"/>
          <w:szCs w:val="24"/>
        </w:rPr>
        <w:t xml:space="preserve"> is a Ph.D. student in the Higher Education Group at OISE/University of Toronto.</w:t>
      </w:r>
    </w:p>
    <w:p w14:paraId="32FC1A77" w14:textId="77777777" w:rsidR="00777516" w:rsidRPr="0055435B" w:rsidRDefault="00777516" w:rsidP="0055435B">
      <w:pPr>
        <w:spacing w:line="360" w:lineRule="auto"/>
        <w:rPr>
          <w:rFonts w:cs="Times New Roman"/>
          <w:szCs w:val="24"/>
        </w:rPr>
      </w:pPr>
    </w:p>
    <w:p w14:paraId="79CA0FF9" w14:textId="77777777" w:rsidR="00B01EE6" w:rsidRPr="0055435B" w:rsidRDefault="00B01EE6" w:rsidP="0055435B">
      <w:pPr>
        <w:spacing w:line="360" w:lineRule="auto"/>
        <w:rPr>
          <w:rFonts w:cs="Times New Roman"/>
          <w:szCs w:val="24"/>
        </w:rPr>
      </w:pPr>
    </w:p>
    <w:p w14:paraId="06E1B952" w14:textId="77777777" w:rsidR="00A53B7E" w:rsidRPr="0055435B" w:rsidRDefault="00A53B7E" w:rsidP="0055435B">
      <w:pPr>
        <w:spacing w:line="360" w:lineRule="auto"/>
        <w:rPr>
          <w:rFonts w:cs="Times New Roman"/>
          <w:szCs w:val="24"/>
        </w:rPr>
      </w:pPr>
    </w:p>
    <w:sectPr w:rsidR="00A53B7E" w:rsidRPr="0055435B" w:rsidSect="00833E0F">
      <w:headerReference w:type="even" r:id="rId26"/>
      <w:headerReference w:type="default" r:id="rId27"/>
      <w:footerReference w:type="default" r:id="rId2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595A7" w14:textId="77777777" w:rsidR="00C5428E" w:rsidRDefault="00C5428E" w:rsidP="0055435B">
      <w:pPr>
        <w:spacing w:after="0" w:line="240" w:lineRule="auto"/>
      </w:pPr>
      <w:r>
        <w:separator/>
      </w:r>
    </w:p>
  </w:endnote>
  <w:endnote w:type="continuationSeparator" w:id="0">
    <w:p w14:paraId="59B63CFB" w14:textId="77777777" w:rsidR="00C5428E" w:rsidRDefault="00C5428E" w:rsidP="00554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956127"/>
      <w:docPartObj>
        <w:docPartGallery w:val="Page Numbers (Bottom of Page)"/>
        <w:docPartUnique/>
      </w:docPartObj>
    </w:sdtPr>
    <w:sdtEndPr>
      <w:rPr>
        <w:noProof/>
      </w:rPr>
    </w:sdtEndPr>
    <w:sdtContent>
      <w:p w14:paraId="78966D6E" w14:textId="62CEB48F" w:rsidR="00915480" w:rsidRDefault="00915480">
        <w:pPr>
          <w:pStyle w:val="Footer"/>
          <w:jc w:val="right"/>
        </w:pPr>
        <w:r>
          <w:fldChar w:fldCharType="begin"/>
        </w:r>
        <w:r>
          <w:instrText xml:space="preserve"> PAGE   \* MERGEFORMAT </w:instrText>
        </w:r>
        <w:r>
          <w:fldChar w:fldCharType="separate"/>
        </w:r>
        <w:r w:rsidR="007D43AF">
          <w:rPr>
            <w:noProof/>
          </w:rPr>
          <w:t>2</w:t>
        </w:r>
        <w:r>
          <w:rPr>
            <w:noProof/>
          </w:rPr>
          <w:fldChar w:fldCharType="end"/>
        </w:r>
      </w:p>
    </w:sdtContent>
  </w:sdt>
  <w:p w14:paraId="26A5116E" w14:textId="77777777" w:rsidR="00915480" w:rsidRDefault="00915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54B85" w14:textId="77777777" w:rsidR="00C5428E" w:rsidRDefault="00C5428E" w:rsidP="0055435B">
      <w:pPr>
        <w:spacing w:after="0" w:line="240" w:lineRule="auto"/>
      </w:pPr>
      <w:r>
        <w:separator/>
      </w:r>
    </w:p>
  </w:footnote>
  <w:footnote w:type="continuationSeparator" w:id="0">
    <w:p w14:paraId="709C0A46" w14:textId="77777777" w:rsidR="00C5428E" w:rsidRDefault="00C5428E" w:rsidP="0055435B">
      <w:pPr>
        <w:spacing w:after="0" w:line="240" w:lineRule="auto"/>
      </w:pPr>
      <w:r>
        <w:continuationSeparator/>
      </w:r>
    </w:p>
  </w:footnote>
  <w:footnote w:id="1">
    <w:p w14:paraId="6497F8D3" w14:textId="6E06E49D" w:rsidR="00915480" w:rsidRPr="00953D2F" w:rsidRDefault="00915480">
      <w:pPr>
        <w:pStyle w:val="FootnoteText"/>
        <w:rPr>
          <w:lang w:val="en-CA"/>
        </w:rPr>
      </w:pPr>
      <w:r>
        <w:rPr>
          <w:rStyle w:val="FootnoteReference"/>
        </w:rPr>
        <w:footnoteRef/>
      </w:r>
      <w:r>
        <w:t xml:space="preserve"> </w:t>
      </w:r>
      <w:r>
        <w:rPr>
          <w:lang w:val="en-CA"/>
        </w:rPr>
        <w:t xml:space="preserve">More detailed information on this organization can be found at: </w:t>
      </w:r>
      <w:r w:rsidRPr="00953D2F">
        <w:rPr>
          <w:lang w:val="en-CA"/>
        </w:rPr>
        <w:t>http://www.pathwaystoeducation.ca/en/home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238E" w14:textId="77777777" w:rsidR="00915480" w:rsidRDefault="00915480" w:rsidP="005543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E64D58" w14:textId="77777777" w:rsidR="00915480" w:rsidRDefault="00915480" w:rsidP="0055435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56A0" w14:textId="77777777" w:rsidR="00915480" w:rsidRDefault="00915480" w:rsidP="0055435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0026D"/>
    <w:multiLevelType w:val="hybridMultilevel"/>
    <w:tmpl w:val="37F4102A"/>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 w15:restartNumberingAfterBreak="0">
    <w:nsid w:val="4CE95599"/>
    <w:multiLevelType w:val="hybridMultilevel"/>
    <w:tmpl w:val="F26CE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681133"/>
    <w:multiLevelType w:val="multilevel"/>
    <w:tmpl w:val="0EAEAEE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B553EF0"/>
    <w:multiLevelType w:val="hybridMultilevel"/>
    <w:tmpl w:val="F26CE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576366">
    <w:abstractNumId w:val="3"/>
  </w:num>
  <w:num w:numId="2" w16cid:durableId="540754503">
    <w:abstractNumId w:val="1"/>
  </w:num>
  <w:num w:numId="3" w16cid:durableId="1846432416">
    <w:abstractNumId w:val="0"/>
  </w:num>
  <w:num w:numId="4" w16cid:durableId="290209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E6"/>
    <w:rsid w:val="00000A2A"/>
    <w:rsid w:val="00016BB2"/>
    <w:rsid w:val="0002796F"/>
    <w:rsid w:val="00031975"/>
    <w:rsid w:val="000454FF"/>
    <w:rsid w:val="00045D8E"/>
    <w:rsid w:val="00083BAB"/>
    <w:rsid w:val="000B104B"/>
    <w:rsid w:val="000B2C6C"/>
    <w:rsid w:val="000C530B"/>
    <w:rsid w:val="000D2B0B"/>
    <w:rsid w:val="000F6E12"/>
    <w:rsid w:val="001275BC"/>
    <w:rsid w:val="001277BD"/>
    <w:rsid w:val="0014653E"/>
    <w:rsid w:val="001D128A"/>
    <w:rsid w:val="001D33C9"/>
    <w:rsid w:val="001D578E"/>
    <w:rsid w:val="001D7489"/>
    <w:rsid w:val="001E0D5B"/>
    <w:rsid w:val="001F4D1E"/>
    <w:rsid w:val="002034C3"/>
    <w:rsid w:val="002063CF"/>
    <w:rsid w:val="00221C87"/>
    <w:rsid w:val="002228BC"/>
    <w:rsid w:val="002243D1"/>
    <w:rsid w:val="00227E92"/>
    <w:rsid w:val="0027748C"/>
    <w:rsid w:val="002D158F"/>
    <w:rsid w:val="002D323E"/>
    <w:rsid w:val="002D6601"/>
    <w:rsid w:val="002E4CBD"/>
    <w:rsid w:val="002E7099"/>
    <w:rsid w:val="002F70DC"/>
    <w:rsid w:val="00304636"/>
    <w:rsid w:val="0030642B"/>
    <w:rsid w:val="00310E66"/>
    <w:rsid w:val="00351085"/>
    <w:rsid w:val="003553AB"/>
    <w:rsid w:val="00383695"/>
    <w:rsid w:val="00393FE8"/>
    <w:rsid w:val="003E1A2C"/>
    <w:rsid w:val="003F0DDA"/>
    <w:rsid w:val="003F14AD"/>
    <w:rsid w:val="00433D8A"/>
    <w:rsid w:val="00455AAC"/>
    <w:rsid w:val="004637B4"/>
    <w:rsid w:val="00493CA9"/>
    <w:rsid w:val="004B09EF"/>
    <w:rsid w:val="004C2016"/>
    <w:rsid w:val="004F0FD3"/>
    <w:rsid w:val="0050407A"/>
    <w:rsid w:val="005072CA"/>
    <w:rsid w:val="00516DA2"/>
    <w:rsid w:val="00536661"/>
    <w:rsid w:val="00552288"/>
    <w:rsid w:val="00552B57"/>
    <w:rsid w:val="0055435B"/>
    <w:rsid w:val="0056515F"/>
    <w:rsid w:val="005803EC"/>
    <w:rsid w:val="00594A85"/>
    <w:rsid w:val="00595DCC"/>
    <w:rsid w:val="005A1019"/>
    <w:rsid w:val="005B74E7"/>
    <w:rsid w:val="005C1DA8"/>
    <w:rsid w:val="005C3B48"/>
    <w:rsid w:val="005C4050"/>
    <w:rsid w:val="005F5317"/>
    <w:rsid w:val="0060181A"/>
    <w:rsid w:val="006154E9"/>
    <w:rsid w:val="006172D8"/>
    <w:rsid w:val="006425C5"/>
    <w:rsid w:val="00652677"/>
    <w:rsid w:val="0069389B"/>
    <w:rsid w:val="006A0B02"/>
    <w:rsid w:val="006B2F92"/>
    <w:rsid w:val="006C6FEF"/>
    <w:rsid w:val="006C70CF"/>
    <w:rsid w:val="006D69C2"/>
    <w:rsid w:val="0071090D"/>
    <w:rsid w:val="00757202"/>
    <w:rsid w:val="00764453"/>
    <w:rsid w:val="00767B16"/>
    <w:rsid w:val="00777516"/>
    <w:rsid w:val="007819D6"/>
    <w:rsid w:val="00796108"/>
    <w:rsid w:val="007B7584"/>
    <w:rsid w:val="007D43AF"/>
    <w:rsid w:val="007D46AE"/>
    <w:rsid w:val="007E1F7A"/>
    <w:rsid w:val="00833E0F"/>
    <w:rsid w:val="00894792"/>
    <w:rsid w:val="008974BC"/>
    <w:rsid w:val="008F2283"/>
    <w:rsid w:val="00915480"/>
    <w:rsid w:val="00927B3E"/>
    <w:rsid w:val="00934595"/>
    <w:rsid w:val="00953D2F"/>
    <w:rsid w:val="00986281"/>
    <w:rsid w:val="00997640"/>
    <w:rsid w:val="009E706F"/>
    <w:rsid w:val="009F3298"/>
    <w:rsid w:val="00A06BC4"/>
    <w:rsid w:val="00A10083"/>
    <w:rsid w:val="00A14D24"/>
    <w:rsid w:val="00A272AF"/>
    <w:rsid w:val="00A36469"/>
    <w:rsid w:val="00A53B7E"/>
    <w:rsid w:val="00A81EE1"/>
    <w:rsid w:val="00A935CE"/>
    <w:rsid w:val="00A949C0"/>
    <w:rsid w:val="00AA1A92"/>
    <w:rsid w:val="00AC47C6"/>
    <w:rsid w:val="00AE470B"/>
    <w:rsid w:val="00AF0110"/>
    <w:rsid w:val="00AF63A9"/>
    <w:rsid w:val="00B01EE6"/>
    <w:rsid w:val="00B629DA"/>
    <w:rsid w:val="00B65F2D"/>
    <w:rsid w:val="00B74E59"/>
    <w:rsid w:val="00B81AFF"/>
    <w:rsid w:val="00B91D02"/>
    <w:rsid w:val="00BA6CBC"/>
    <w:rsid w:val="00BB0974"/>
    <w:rsid w:val="00BC2478"/>
    <w:rsid w:val="00BC3D87"/>
    <w:rsid w:val="00BD77F2"/>
    <w:rsid w:val="00BE4391"/>
    <w:rsid w:val="00BE702E"/>
    <w:rsid w:val="00BF01A9"/>
    <w:rsid w:val="00BF6BBF"/>
    <w:rsid w:val="00C17AF1"/>
    <w:rsid w:val="00C33B8D"/>
    <w:rsid w:val="00C510CC"/>
    <w:rsid w:val="00C5254C"/>
    <w:rsid w:val="00C5428E"/>
    <w:rsid w:val="00C54525"/>
    <w:rsid w:val="00C54787"/>
    <w:rsid w:val="00C55E2B"/>
    <w:rsid w:val="00C66791"/>
    <w:rsid w:val="00C70FF2"/>
    <w:rsid w:val="00CA7619"/>
    <w:rsid w:val="00CB19AA"/>
    <w:rsid w:val="00CB2AC4"/>
    <w:rsid w:val="00CE30D6"/>
    <w:rsid w:val="00CE3D6B"/>
    <w:rsid w:val="00D2054E"/>
    <w:rsid w:val="00D257C2"/>
    <w:rsid w:val="00D26331"/>
    <w:rsid w:val="00D437A1"/>
    <w:rsid w:val="00D44603"/>
    <w:rsid w:val="00D63DCB"/>
    <w:rsid w:val="00D71B97"/>
    <w:rsid w:val="00D93DFF"/>
    <w:rsid w:val="00D95BA5"/>
    <w:rsid w:val="00E16F1B"/>
    <w:rsid w:val="00E22E42"/>
    <w:rsid w:val="00E32237"/>
    <w:rsid w:val="00E3637D"/>
    <w:rsid w:val="00E37D1D"/>
    <w:rsid w:val="00E52650"/>
    <w:rsid w:val="00E70574"/>
    <w:rsid w:val="00E90255"/>
    <w:rsid w:val="00EC2914"/>
    <w:rsid w:val="00EC3014"/>
    <w:rsid w:val="00EC5223"/>
    <w:rsid w:val="00EC5B36"/>
    <w:rsid w:val="00EC5B4F"/>
    <w:rsid w:val="00EC6A21"/>
    <w:rsid w:val="00ED2CAF"/>
    <w:rsid w:val="00F05E7E"/>
    <w:rsid w:val="00F108A4"/>
    <w:rsid w:val="00F1614E"/>
    <w:rsid w:val="00F24582"/>
    <w:rsid w:val="00F35877"/>
    <w:rsid w:val="00F41EDA"/>
    <w:rsid w:val="00FB3A03"/>
    <w:rsid w:val="00FC026C"/>
    <w:rsid w:val="00FC6559"/>
    <w:rsid w:val="00FD6200"/>
    <w:rsid w:val="00FE5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137D0"/>
  <w14:defaultImageDpi w14:val="300"/>
  <w15:docId w15:val="{F30705F0-F6F9-D549-9672-43C52C2E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EE6"/>
    <w:pPr>
      <w:spacing w:after="200" w:line="276" w:lineRule="auto"/>
    </w:pPr>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EE6"/>
    <w:pPr>
      <w:ind w:left="720"/>
      <w:contextualSpacing/>
    </w:pPr>
  </w:style>
  <w:style w:type="character" w:styleId="Hyperlink">
    <w:name w:val="Hyperlink"/>
    <w:basedOn w:val="DefaultParagraphFont"/>
    <w:uiPriority w:val="99"/>
    <w:unhideWhenUsed/>
    <w:rsid w:val="00B01EE6"/>
    <w:rPr>
      <w:color w:val="0000FF" w:themeColor="hyperlink"/>
      <w:u w:val="single"/>
    </w:rPr>
  </w:style>
  <w:style w:type="paragraph" w:styleId="Header">
    <w:name w:val="header"/>
    <w:basedOn w:val="Normal"/>
    <w:link w:val="HeaderChar"/>
    <w:uiPriority w:val="99"/>
    <w:unhideWhenUsed/>
    <w:rsid w:val="0055435B"/>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435B"/>
    <w:rPr>
      <w:rFonts w:ascii="Times New Roman" w:eastAsiaTheme="minorHAnsi" w:hAnsi="Times New Roman"/>
      <w:szCs w:val="22"/>
    </w:rPr>
  </w:style>
  <w:style w:type="character" w:styleId="PageNumber">
    <w:name w:val="page number"/>
    <w:basedOn w:val="DefaultParagraphFont"/>
    <w:uiPriority w:val="99"/>
    <w:semiHidden/>
    <w:unhideWhenUsed/>
    <w:rsid w:val="0055435B"/>
  </w:style>
  <w:style w:type="paragraph" w:styleId="Footer">
    <w:name w:val="footer"/>
    <w:basedOn w:val="Normal"/>
    <w:link w:val="FooterChar"/>
    <w:uiPriority w:val="99"/>
    <w:unhideWhenUsed/>
    <w:rsid w:val="00833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E0F"/>
    <w:rPr>
      <w:rFonts w:ascii="Times New Roman" w:eastAsiaTheme="minorHAnsi" w:hAnsi="Times New Roman"/>
      <w:szCs w:val="22"/>
    </w:rPr>
  </w:style>
  <w:style w:type="paragraph" w:customStyle="1" w:styleId="Default">
    <w:name w:val="Default"/>
    <w:rsid w:val="007D46AE"/>
    <w:pPr>
      <w:widowControl w:val="0"/>
      <w:autoSpaceDE w:val="0"/>
      <w:autoSpaceDN w:val="0"/>
      <w:adjustRightInd w:val="0"/>
    </w:pPr>
    <w:rPr>
      <w:rFonts w:ascii="Arial" w:hAnsi="Arial" w:cs="Arial"/>
      <w:color w:val="000000"/>
    </w:rPr>
  </w:style>
  <w:style w:type="character" w:styleId="Emphasis">
    <w:name w:val="Emphasis"/>
    <w:basedOn w:val="DefaultParagraphFont"/>
    <w:uiPriority w:val="20"/>
    <w:qFormat/>
    <w:rsid w:val="007D46AE"/>
    <w:rPr>
      <w:i/>
      <w:iCs/>
    </w:rPr>
  </w:style>
  <w:style w:type="character" w:styleId="Strong">
    <w:name w:val="Strong"/>
    <w:basedOn w:val="DefaultParagraphFont"/>
    <w:uiPriority w:val="22"/>
    <w:qFormat/>
    <w:rsid w:val="007D46AE"/>
    <w:rPr>
      <w:b/>
      <w:bCs/>
    </w:rPr>
  </w:style>
  <w:style w:type="character" w:styleId="FollowedHyperlink">
    <w:name w:val="FollowedHyperlink"/>
    <w:basedOn w:val="DefaultParagraphFont"/>
    <w:uiPriority w:val="99"/>
    <w:semiHidden/>
    <w:unhideWhenUsed/>
    <w:rsid w:val="004C2016"/>
    <w:rPr>
      <w:color w:val="800080" w:themeColor="followedHyperlink"/>
      <w:u w:val="single"/>
    </w:rPr>
  </w:style>
  <w:style w:type="paragraph" w:styleId="FootnoteText">
    <w:name w:val="footnote text"/>
    <w:basedOn w:val="Normal"/>
    <w:link w:val="FootnoteTextChar"/>
    <w:uiPriority w:val="99"/>
    <w:semiHidden/>
    <w:unhideWhenUsed/>
    <w:rsid w:val="00953D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D2F"/>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953D2F"/>
    <w:rPr>
      <w:vertAlign w:val="superscript"/>
    </w:rPr>
  </w:style>
  <w:style w:type="paragraph" w:styleId="BalloonText">
    <w:name w:val="Balloon Text"/>
    <w:basedOn w:val="Normal"/>
    <w:link w:val="BalloonTextChar"/>
    <w:uiPriority w:val="99"/>
    <w:semiHidden/>
    <w:unhideWhenUsed/>
    <w:rsid w:val="00F05E7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5E7E"/>
    <w:rPr>
      <w:rFonts w:ascii="Lucida Grande" w:eastAsiaTheme="minorHAnsi" w:hAnsi="Lucida Grande" w:cs="Lucida Grande"/>
      <w:sz w:val="18"/>
      <w:szCs w:val="18"/>
    </w:rPr>
  </w:style>
  <w:style w:type="paragraph" w:styleId="Revision">
    <w:name w:val="Revision"/>
    <w:hidden/>
    <w:uiPriority w:val="99"/>
    <w:semiHidden/>
    <w:rsid w:val="00455AAC"/>
    <w:rPr>
      <w:rFonts w:ascii="Times New Roman" w:eastAsiaTheme="minorHAns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455182">
      <w:bodyDiv w:val="1"/>
      <w:marLeft w:val="0"/>
      <w:marRight w:val="0"/>
      <w:marTop w:val="0"/>
      <w:marBottom w:val="0"/>
      <w:divBdr>
        <w:top w:val="none" w:sz="0" w:space="0" w:color="auto"/>
        <w:left w:val="none" w:sz="0" w:space="0" w:color="auto"/>
        <w:bottom w:val="none" w:sz="0" w:space="0" w:color="auto"/>
        <w:right w:val="none" w:sz="0" w:space="0" w:color="auto"/>
      </w:divBdr>
      <w:divsChild>
        <w:div w:id="778261877">
          <w:marLeft w:val="0"/>
          <w:marRight w:val="0"/>
          <w:marTop w:val="0"/>
          <w:marBottom w:val="0"/>
          <w:divBdr>
            <w:top w:val="none" w:sz="0" w:space="0" w:color="auto"/>
            <w:left w:val="none" w:sz="0" w:space="0" w:color="auto"/>
            <w:bottom w:val="none" w:sz="0" w:space="0" w:color="auto"/>
            <w:right w:val="none" w:sz="0" w:space="0" w:color="auto"/>
          </w:divBdr>
        </w:div>
        <w:div w:id="422266418">
          <w:marLeft w:val="0"/>
          <w:marRight w:val="0"/>
          <w:marTop w:val="0"/>
          <w:marBottom w:val="0"/>
          <w:divBdr>
            <w:top w:val="none" w:sz="0" w:space="0" w:color="auto"/>
            <w:left w:val="none" w:sz="0" w:space="0" w:color="auto"/>
            <w:bottom w:val="none" w:sz="0" w:space="0" w:color="auto"/>
            <w:right w:val="none" w:sz="0" w:space="0" w:color="auto"/>
          </w:divBdr>
        </w:div>
        <w:div w:id="2038312254">
          <w:marLeft w:val="0"/>
          <w:marRight w:val="0"/>
          <w:marTop w:val="0"/>
          <w:marBottom w:val="0"/>
          <w:divBdr>
            <w:top w:val="none" w:sz="0" w:space="0" w:color="auto"/>
            <w:left w:val="none" w:sz="0" w:space="0" w:color="auto"/>
            <w:bottom w:val="none" w:sz="0" w:space="0" w:color="auto"/>
            <w:right w:val="none" w:sz="0" w:space="0" w:color="auto"/>
          </w:divBdr>
        </w:div>
      </w:divsChild>
    </w:div>
    <w:div w:id="1253928925">
      <w:bodyDiv w:val="1"/>
      <w:marLeft w:val="0"/>
      <w:marRight w:val="0"/>
      <w:marTop w:val="0"/>
      <w:marBottom w:val="0"/>
      <w:divBdr>
        <w:top w:val="none" w:sz="0" w:space="0" w:color="auto"/>
        <w:left w:val="none" w:sz="0" w:space="0" w:color="auto"/>
        <w:bottom w:val="none" w:sz="0" w:space="0" w:color="auto"/>
        <w:right w:val="none" w:sz="0" w:space="0" w:color="auto"/>
      </w:divBdr>
      <w:divsChild>
        <w:div w:id="7372213">
          <w:marLeft w:val="0"/>
          <w:marRight w:val="0"/>
          <w:marTop w:val="0"/>
          <w:marBottom w:val="0"/>
          <w:divBdr>
            <w:top w:val="none" w:sz="0" w:space="0" w:color="auto"/>
            <w:left w:val="none" w:sz="0" w:space="0" w:color="auto"/>
            <w:bottom w:val="none" w:sz="0" w:space="0" w:color="auto"/>
            <w:right w:val="none" w:sz="0" w:space="0" w:color="auto"/>
          </w:divBdr>
        </w:div>
        <w:div w:id="934366788">
          <w:marLeft w:val="0"/>
          <w:marRight w:val="0"/>
          <w:marTop w:val="0"/>
          <w:marBottom w:val="0"/>
          <w:divBdr>
            <w:top w:val="none" w:sz="0" w:space="0" w:color="auto"/>
            <w:left w:val="none" w:sz="0" w:space="0" w:color="auto"/>
            <w:bottom w:val="none" w:sz="0" w:space="0" w:color="auto"/>
            <w:right w:val="none" w:sz="0" w:space="0" w:color="auto"/>
          </w:divBdr>
        </w:div>
        <w:div w:id="563175494">
          <w:marLeft w:val="0"/>
          <w:marRight w:val="0"/>
          <w:marTop w:val="0"/>
          <w:marBottom w:val="0"/>
          <w:divBdr>
            <w:top w:val="none" w:sz="0" w:space="0" w:color="auto"/>
            <w:left w:val="none" w:sz="0" w:space="0" w:color="auto"/>
            <w:bottom w:val="none" w:sz="0" w:space="0" w:color="auto"/>
            <w:right w:val="none" w:sz="0" w:space="0" w:color="auto"/>
          </w:divBdr>
        </w:div>
        <w:div w:id="2005931665">
          <w:marLeft w:val="0"/>
          <w:marRight w:val="0"/>
          <w:marTop w:val="0"/>
          <w:marBottom w:val="0"/>
          <w:divBdr>
            <w:top w:val="none" w:sz="0" w:space="0" w:color="auto"/>
            <w:left w:val="none" w:sz="0" w:space="0" w:color="auto"/>
            <w:bottom w:val="none" w:sz="0" w:space="0" w:color="auto"/>
            <w:right w:val="none" w:sz="0" w:space="0" w:color="auto"/>
          </w:divBdr>
        </w:div>
        <w:div w:id="1474175874">
          <w:marLeft w:val="0"/>
          <w:marRight w:val="0"/>
          <w:marTop w:val="0"/>
          <w:marBottom w:val="0"/>
          <w:divBdr>
            <w:top w:val="none" w:sz="0" w:space="0" w:color="auto"/>
            <w:left w:val="none" w:sz="0" w:space="0" w:color="auto"/>
            <w:bottom w:val="none" w:sz="0" w:space="0" w:color="auto"/>
            <w:right w:val="none" w:sz="0" w:space="0" w:color="auto"/>
          </w:divBdr>
        </w:div>
        <w:div w:id="1117481967">
          <w:marLeft w:val="0"/>
          <w:marRight w:val="0"/>
          <w:marTop w:val="0"/>
          <w:marBottom w:val="0"/>
          <w:divBdr>
            <w:top w:val="none" w:sz="0" w:space="0" w:color="auto"/>
            <w:left w:val="none" w:sz="0" w:space="0" w:color="auto"/>
            <w:bottom w:val="none" w:sz="0" w:space="0" w:color="auto"/>
            <w:right w:val="none" w:sz="0" w:space="0" w:color="auto"/>
          </w:divBdr>
        </w:div>
      </w:divsChild>
    </w:div>
    <w:div w:id="1381125538">
      <w:bodyDiv w:val="1"/>
      <w:marLeft w:val="0"/>
      <w:marRight w:val="0"/>
      <w:marTop w:val="0"/>
      <w:marBottom w:val="0"/>
      <w:divBdr>
        <w:top w:val="none" w:sz="0" w:space="0" w:color="auto"/>
        <w:left w:val="none" w:sz="0" w:space="0" w:color="auto"/>
        <w:bottom w:val="none" w:sz="0" w:space="0" w:color="auto"/>
        <w:right w:val="none" w:sz="0" w:space="0" w:color="auto"/>
      </w:divBdr>
    </w:div>
    <w:div w:id="1417049969">
      <w:bodyDiv w:val="1"/>
      <w:marLeft w:val="0"/>
      <w:marRight w:val="0"/>
      <w:marTop w:val="0"/>
      <w:marBottom w:val="0"/>
      <w:divBdr>
        <w:top w:val="none" w:sz="0" w:space="0" w:color="auto"/>
        <w:left w:val="none" w:sz="0" w:space="0" w:color="auto"/>
        <w:bottom w:val="none" w:sz="0" w:space="0" w:color="auto"/>
        <w:right w:val="none" w:sz="0" w:space="0" w:color="auto"/>
      </w:divBdr>
      <w:divsChild>
        <w:div w:id="1290939368">
          <w:marLeft w:val="0"/>
          <w:marRight w:val="0"/>
          <w:marTop w:val="0"/>
          <w:marBottom w:val="0"/>
          <w:divBdr>
            <w:top w:val="none" w:sz="0" w:space="0" w:color="auto"/>
            <w:left w:val="none" w:sz="0" w:space="0" w:color="auto"/>
            <w:bottom w:val="none" w:sz="0" w:space="0" w:color="auto"/>
            <w:right w:val="none" w:sz="0" w:space="0" w:color="auto"/>
          </w:divBdr>
        </w:div>
        <w:div w:id="1826630816">
          <w:marLeft w:val="0"/>
          <w:marRight w:val="0"/>
          <w:marTop w:val="0"/>
          <w:marBottom w:val="0"/>
          <w:divBdr>
            <w:top w:val="none" w:sz="0" w:space="0" w:color="auto"/>
            <w:left w:val="none" w:sz="0" w:space="0" w:color="auto"/>
            <w:bottom w:val="none" w:sz="0" w:space="0" w:color="auto"/>
            <w:right w:val="none" w:sz="0" w:space="0" w:color="auto"/>
          </w:divBdr>
        </w:div>
        <w:div w:id="2125150105">
          <w:marLeft w:val="0"/>
          <w:marRight w:val="0"/>
          <w:marTop w:val="0"/>
          <w:marBottom w:val="0"/>
          <w:divBdr>
            <w:top w:val="none" w:sz="0" w:space="0" w:color="auto"/>
            <w:left w:val="none" w:sz="0" w:space="0" w:color="auto"/>
            <w:bottom w:val="none" w:sz="0" w:space="0" w:color="auto"/>
            <w:right w:val="none" w:sz="0" w:space="0" w:color="auto"/>
          </w:divBdr>
        </w:div>
        <w:div w:id="15927265">
          <w:marLeft w:val="0"/>
          <w:marRight w:val="0"/>
          <w:marTop w:val="0"/>
          <w:marBottom w:val="0"/>
          <w:divBdr>
            <w:top w:val="none" w:sz="0" w:space="0" w:color="auto"/>
            <w:left w:val="none" w:sz="0" w:space="0" w:color="auto"/>
            <w:bottom w:val="none" w:sz="0" w:space="0" w:color="auto"/>
            <w:right w:val="none" w:sz="0" w:space="0" w:color="auto"/>
          </w:divBdr>
        </w:div>
      </w:divsChild>
    </w:div>
    <w:div w:id="1525555438">
      <w:bodyDiv w:val="1"/>
      <w:marLeft w:val="0"/>
      <w:marRight w:val="0"/>
      <w:marTop w:val="0"/>
      <w:marBottom w:val="0"/>
      <w:divBdr>
        <w:top w:val="none" w:sz="0" w:space="0" w:color="auto"/>
        <w:left w:val="none" w:sz="0" w:space="0" w:color="auto"/>
        <w:bottom w:val="none" w:sz="0" w:space="0" w:color="auto"/>
        <w:right w:val="none" w:sz="0" w:space="0" w:color="auto"/>
      </w:divBdr>
    </w:div>
    <w:div w:id="1793404958">
      <w:bodyDiv w:val="1"/>
      <w:marLeft w:val="0"/>
      <w:marRight w:val="0"/>
      <w:marTop w:val="0"/>
      <w:marBottom w:val="0"/>
      <w:divBdr>
        <w:top w:val="none" w:sz="0" w:space="0" w:color="auto"/>
        <w:left w:val="none" w:sz="0" w:space="0" w:color="auto"/>
        <w:bottom w:val="none" w:sz="0" w:space="0" w:color="auto"/>
        <w:right w:val="none" w:sz="0" w:space="0" w:color="auto"/>
      </w:divBdr>
    </w:div>
    <w:div w:id="19204093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times.webcitybeat.com/?p=569" TargetMode="External"/><Relationship Id="rId13" Type="http://schemas.openxmlformats.org/officeDocument/2006/relationships/hyperlink" Target="http://www.heqco.ca/SiteCollectionDocuments/Early%20Interventions_ENG.pdf" TargetMode="External"/><Relationship Id="rId18" Type="http://schemas.openxmlformats.org/officeDocument/2006/relationships/hyperlink" Target="http://www.aved.gov.bc.ca/aboriginal/docs/educator-resources/APSES_evaluation_report.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cpri-cirpa2008.ulaval.ca/webdav/site/acpri-cirpa2008/shared/Fichiers/Presentations/LC-4.pdf" TargetMode="External"/><Relationship Id="rId7" Type="http://schemas.openxmlformats.org/officeDocument/2006/relationships/endnotes" Target="endnotes.xml"/><Relationship Id="rId12" Type="http://schemas.openxmlformats.org/officeDocument/2006/relationships/hyperlink" Target="http://www.cou.on.ca/publications/reports/pdfs/the-ontario-credit-transfer-system---a-situation-r" TargetMode="External"/><Relationship Id="rId17" Type="http://schemas.openxmlformats.org/officeDocument/2006/relationships/hyperlink" Target="http://www.heqco.ca/en-CA/Research/At_Issue_Papers/Pages/Summary.aspx?link=14" TargetMode="External"/><Relationship Id="rId25" Type="http://schemas.openxmlformats.org/officeDocument/2006/relationships/hyperlink" Target="http://www.heqco.ca/SiteCollectionDocuments/EvaluatingPSESupportsForStudentsWithLearningDisabilities.pdf" TargetMode="External"/><Relationship Id="rId2" Type="http://schemas.openxmlformats.org/officeDocument/2006/relationships/numbering" Target="numbering.xml"/><Relationship Id="rId16" Type="http://schemas.openxmlformats.org/officeDocument/2006/relationships/hyperlink" Target="http://www.heqco.ca/SiteCollectionDocuments/Conestoga_ENG.pdf" TargetMode="External"/><Relationship Id="rId20" Type="http://schemas.openxmlformats.org/officeDocument/2006/relationships/hyperlink" Target="http://www.heqco.ca/SiteCollectionDocuments/Labour%20Market%20ENG.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e.alberta.ca/media/371650/2011calpreport.pdf" TargetMode="External"/><Relationship Id="rId24" Type="http://schemas.openxmlformats.org/officeDocument/2006/relationships/hyperlink" Target="http://www.collegesontario.org/Need_to_Make_Skills_Work_Report_June_2013.pdf" TargetMode="External"/><Relationship Id="rId5" Type="http://schemas.openxmlformats.org/officeDocument/2006/relationships/webSettings" Target="webSettings.xml"/><Relationship Id="rId15" Type="http://schemas.openxmlformats.org/officeDocument/2006/relationships/hyperlink" Target="http://www.collegesontario.org/research/student_retention_presentations/report_patterns_of_persistence_ontario.pdf" TargetMode="External"/><Relationship Id="rId23" Type="http://schemas.openxmlformats.org/officeDocument/2006/relationships/hyperlink" Target="http://www.library.carleton.ca/sites/default/files/find/data/surveys/pdf_files/millennium_2009-02-12_rn-8_en.pdf" TargetMode="External"/><Relationship Id="rId28" Type="http://schemas.openxmlformats.org/officeDocument/2006/relationships/footer" Target="footer1.xml"/><Relationship Id="rId10" Type="http://schemas.openxmlformats.org/officeDocument/2006/relationships/hyperlink" Target="http://www.collegesontario.org/research/2013_environmental_scan/CO_EnvScan_12_Stu&amp;GradProfiles_WEB.pdf" TargetMode="External"/><Relationship Id="rId19" Type="http://schemas.openxmlformats.org/officeDocument/2006/relationships/hyperlink" Target="http://www.aved.gov.bc.ca/aboriginal/docs/educator-resources/APSES_evaluation_report.pdf" TargetMode="External"/><Relationship Id="rId4" Type="http://schemas.openxmlformats.org/officeDocument/2006/relationships/settings" Target="settings.xml"/><Relationship Id="rId9" Type="http://schemas.openxmlformats.org/officeDocument/2006/relationships/hyperlink" Target="http://www.aved.gov.bc.ca/degree-authorization/documents/Stubbs-Report.pdf" TargetMode="External"/><Relationship Id="rId14" Type="http://schemas.openxmlformats.org/officeDocument/2006/relationships/hyperlink" Target="http://academiccommons.columbia.edu/catalog/ac:144991" TargetMode="External"/><Relationship Id="rId22" Type="http://schemas.openxmlformats.org/officeDocument/2006/relationships/hyperlink" Target="http://eae.alberta.ca/media/268596/calttreport.pdf"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78B4C-B96A-4C40-92D8-E5B416C3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10516</Words>
  <Characters>59944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70320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Field</dc:creator>
  <cp:lastModifiedBy>Andrea Zdzylowski</cp:lastModifiedBy>
  <cp:revision>2</cp:revision>
  <dcterms:created xsi:type="dcterms:W3CDTF">2023-07-13T20:36:00Z</dcterms:created>
  <dcterms:modified xsi:type="dcterms:W3CDTF">2023-07-13T20:36:00Z</dcterms:modified>
</cp:coreProperties>
</file>